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0997" w14:textId="77777777" w:rsidR="004E4549" w:rsidRPr="004E4549" w:rsidRDefault="004E4549" w:rsidP="004E4549">
      <w:pPr>
        <w:spacing w:after="0" w:line="276" w:lineRule="auto"/>
        <w:jc w:val="right"/>
        <w:rPr>
          <w:rFonts w:ascii="PermianSerifTypeface" w:hAnsi="PermianSerifTypeface" w:cs="Times New Roman"/>
          <w:bCs/>
          <w:sz w:val="24"/>
          <w:szCs w:val="24"/>
        </w:rPr>
      </w:pPr>
      <w:r w:rsidRPr="004E4549">
        <w:rPr>
          <w:rFonts w:ascii="PermianSerifTypeface" w:hAnsi="PermianSerifTypeface" w:cs="Times New Roman"/>
          <w:bCs/>
          <w:sz w:val="24"/>
          <w:szCs w:val="24"/>
        </w:rPr>
        <w:t xml:space="preserve">Note: The </w:t>
      </w:r>
      <w:proofErr w:type="spellStart"/>
      <w:r w:rsidRPr="004E4549">
        <w:rPr>
          <w:rFonts w:ascii="PermianSerifTypeface" w:hAnsi="PermianSerifTypeface" w:cs="Times New Roman"/>
          <w:bCs/>
          <w:sz w:val="24"/>
          <w:szCs w:val="24"/>
        </w:rPr>
        <w:t>translation</w:t>
      </w:r>
      <w:proofErr w:type="spellEnd"/>
      <w:r w:rsidRPr="004E4549">
        <w:rPr>
          <w:rFonts w:ascii="PermianSerifTypeface" w:hAnsi="PermianSerifTypeface" w:cs="Times New Roman"/>
          <w:bCs/>
          <w:sz w:val="24"/>
          <w:szCs w:val="24"/>
        </w:rPr>
        <w:t xml:space="preserve"> </w:t>
      </w:r>
      <w:proofErr w:type="spellStart"/>
      <w:r w:rsidRPr="004E4549">
        <w:rPr>
          <w:rFonts w:ascii="PermianSerifTypeface" w:hAnsi="PermianSerifTypeface" w:cs="Times New Roman"/>
          <w:bCs/>
          <w:sz w:val="24"/>
          <w:szCs w:val="24"/>
        </w:rPr>
        <w:t>is</w:t>
      </w:r>
      <w:proofErr w:type="spellEnd"/>
      <w:r w:rsidRPr="004E4549">
        <w:rPr>
          <w:rFonts w:ascii="PermianSerifTypeface" w:hAnsi="PermianSerifTypeface" w:cs="Times New Roman"/>
          <w:bCs/>
          <w:sz w:val="24"/>
          <w:szCs w:val="24"/>
        </w:rPr>
        <w:t xml:space="preserve"> </w:t>
      </w:r>
      <w:proofErr w:type="spellStart"/>
      <w:r w:rsidRPr="004E4549">
        <w:rPr>
          <w:rFonts w:ascii="PermianSerifTypeface" w:hAnsi="PermianSerifTypeface" w:cs="Times New Roman"/>
          <w:bCs/>
          <w:sz w:val="24"/>
          <w:szCs w:val="24"/>
        </w:rPr>
        <w:t>unofficial</w:t>
      </w:r>
      <w:proofErr w:type="spellEnd"/>
      <w:r w:rsidRPr="004E4549">
        <w:rPr>
          <w:rFonts w:ascii="PermianSerifTypeface" w:hAnsi="PermianSerifTypeface" w:cs="Times New Roman"/>
          <w:bCs/>
          <w:sz w:val="24"/>
          <w:szCs w:val="24"/>
        </w:rPr>
        <w:t xml:space="preserve">, for </w:t>
      </w:r>
      <w:proofErr w:type="spellStart"/>
      <w:r w:rsidRPr="004E4549">
        <w:rPr>
          <w:rFonts w:ascii="PermianSerifTypeface" w:hAnsi="PermianSerifTypeface" w:cs="Times New Roman"/>
          <w:bCs/>
          <w:sz w:val="24"/>
          <w:szCs w:val="24"/>
        </w:rPr>
        <w:t>information</w:t>
      </w:r>
      <w:proofErr w:type="spellEnd"/>
      <w:r w:rsidRPr="004E4549">
        <w:rPr>
          <w:rFonts w:ascii="PermianSerifTypeface" w:hAnsi="PermianSerifTypeface" w:cs="Times New Roman"/>
          <w:bCs/>
          <w:sz w:val="24"/>
          <w:szCs w:val="24"/>
        </w:rPr>
        <w:t xml:space="preserve"> </w:t>
      </w:r>
      <w:proofErr w:type="spellStart"/>
      <w:r w:rsidRPr="004E4549">
        <w:rPr>
          <w:rFonts w:ascii="PermianSerifTypeface" w:hAnsi="PermianSerifTypeface" w:cs="Times New Roman"/>
          <w:bCs/>
          <w:sz w:val="24"/>
          <w:szCs w:val="24"/>
        </w:rPr>
        <w:t>purpose</w:t>
      </w:r>
      <w:proofErr w:type="spellEnd"/>
      <w:r w:rsidRPr="004E4549">
        <w:rPr>
          <w:rFonts w:ascii="PermianSerifTypeface" w:hAnsi="PermianSerifTypeface" w:cs="Times New Roman"/>
          <w:bCs/>
          <w:sz w:val="24"/>
          <w:szCs w:val="24"/>
        </w:rPr>
        <w:t xml:space="preserve"> </w:t>
      </w:r>
      <w:proofErr w:type="spellStart"/>
      <w:r w:rsidRPr="004E4549">
        <w:rPr>
          <w:rFonts w:ascii="PermianSerifTypeface" w:hAnsi="PermianSerifTypeface" w:cs="Times New Roman"/>
          <w:bCs/>
          <w:sz w:val="24"/>
          <w:szCs w:val="24"/>
        </w:rPr>
        <w:t>only</w:t>
      </w:r>
      <w:proofErr w:type="spellEnd"/>
    </w:p>
    <w:p w14:paraId="5FCEA603" w14:textId="77777777" w:rsidR="004E4549" w:rsidRDefault="004E4549" w:rsidP="00D777E4">
      <w:pPr>
        <w:spacing w:line="276" w:lineRule="auto"/>
        <w:jc w:val="center"/>
        <w:rPr>
          <w:rFonts w:ascii="PermianSerifTypeface" w:hAnsi="PermianSerifTypeface" w:cs="Times New Roman"/>
          <w:b/>
          <w:bCs/>
          <w:sz w:val="24"/>
          <w:szCs w:val="24"/>
          <w:lang w:val="en-GB"/>
        </w:rPr>
      </w:pPr>
    </w:p>
    <w:p w14:paraId="69848F10" w14:textId="22C0F6F4" w:rsidR="008B603A" w:rsidRDefault="00C57F89" w:rsidP="004E4549">
      <w:pPr>
        <w:spacing w:after="0" w:line="276" w:lineRule="auto"/>
        <w:jc w:val="center"/>
        <w:rPr>
          <w:rFonts w:ascii="PermianSerifTypeface" w:hAnsi="PermianSerifTypeface" w:cs="Times New Roman"/>
          <w:b/>
          <w:bCs/>
          <w:sz w:val="24"/>
          <w:szCs w:val="24"/>
          <w:lang w:val="en-GB"/>
        </w:rPr>
      </w:pPr>
      <w:r w:rsidRPr="00C57F89">
        <w:rPr>
          <w:rFonts w:ascii="PermianSerifTypeface" w:hAnsi="PermianSerifTypeface" w:cs="Times New Roman"/>
          <w:b/>
          <w:bCs/>
          <w:sz w:val="24"/>
          <w:szCs w:val="24"/>
          <w:lang w:val="en-GB"/>
        </w:rPr>
        <w:t>REGULATION</w:t>
      </w:r>
      <w:r w:rsidR="008B603A" w:rsidRPr="00C57F89">
        <w:rPr>
          <w:rFonts w:ascii="PermianSerifTypeface" w:hAnsi="PermianSerifTypeface" w:cs="Times New Roman"/>
          <w:b/>
          <w:bCs/>
          <w:sz w:val="24"/>
          <w:szCs w:val="24"/>
          <w:lang w:val="en-GB"/>
        </w:rPr>
        <w:br/>
      </w:r>
      <w:r w:rsidRPr="00C57F89">
        <w:rPr>
          <w:rFonts w:ascii="PermianSerifTypeface" w:hAnsi="PermianSerifTypeface" w:cs="Times New Roman"/>
          <w:b/>
          <w:bCs/>
          <w:sz w:val="24"/>
          <w:szCs w:val="24"/>
          <w:lang w:val="en-GB"/>
        </w:rPr>
        <w:t>on the supervision of the</w:t>
      </w:r>
      <w:r w:rsidR="0082685C">
        <w:rPr>
          <w:rFonts w:ascii="PermianSerifTypeface" w:hAnsi="PermianSerifTypeface" w:cs="Times New Roman"/>
          <w:b/>
          <w:bCs/>
          <w:sz w:val="24"/>
          <w:szCs w:val="24"/>
          <w:lang w:val="en-GB"/>
        </w:rPr>
        <w:t xml:space="preserve"> Single</w:t>
      </w:r>
      <w:r w:rsidRPr="00C57F89">
        <w:rPr>
          <w:rFonts w:ascii="PermianSerifTypeface" w:hAnsi="PermianSerifTypeface" w:cs="Times New Roman"/>
          <w:b/>
          <w:bCs/>
          <w:sz w:val="24"/>
          <w:szCs w:val="24"/>
          <w:lang w:val="en-GB"/>
        </w:rPr>
        <w:t xml:space="preserve"> Central Securities Depository</w:t>
      </w:r>
    </w:p>
    <w:p w14:paraId="161F9B9D" w14:textId="77777777" w:rsidR="004E4549" w:rsidRPr="00E01B5C" w:rsidRDefault="004E4549" w:rsidP="004E4549">
      <w:pPr>
        <w:spacing w:after="0" w:line="276" w:lineRule="auto"/>
        <w:jc w:val="center"/>
        <w:rPr>
          <w:rFonts w:ascii="PermianSerifTypeface" w:hAnsi="PermianSerifTypeface" w:cs="Times New Roman"/>
          <w:bCs/>
          <w:sz w:val="18"/>
          <w:szCs w:val="18"/>
        </w:rPr>
      </w:pPr>
      <w:r w:rsidRPr="00E01B5C">
        <w:rPr>
          <w:rFonts w:ascii="PermianSerifTypeface" w:hAnsi="PermianSerifTypeface" w:cs="Times New Roman"/>
          <w:bCs/>
          <w:sz w:val="18"/>
          <w:szCs w:val="18"/>
          <w:lang w:val="ro-RO"/>
        </w:rPr>
        <w:t xml:space="preserve">Monitorul Oficial </w:t>
      </w:r>
      <w:r>
        <w:rPr>
          <w:rFonts w:ascii="PermianSerifTypeface" w:hAnsi="PermianSerifTypeface" w:cs="Times New Roman"/>
          <w:bCs/>
          <w:sz w:val="18"/>
          <w:szCs w:val="18"/>
          <w:lang w:val="ro-RO"/>
        </w:rPr>
        <w:t>of</w:t>
      </w:r>
      <w:r w:rsidRPr="00E01B5C">
        <w:rPr>
          <w:rFonts w:ascii="PermianSerifTypeface" w:hAnsi="PermianSerifTypeface" w:cs="Times New Roman"/>
          <w:bCs/>
          <w:sz w:val="18"/>
          <w:szCs w:val="18"/>
          <w:lang w:val="ro-RO"/>
        </w:rPr>
        <w:t xml:space="preserve"> R. Moldova n</w:t>
      </w:r>
      <w:r>
        <w:rPr>
          <w:rFonts w:ascii="PermianSerifTypeface" w:hAnsi="PermianSerifTypeface" w:cs="Times New Roman"/>
          <w:bCs/>
          <w:sz w:val="18"/>
          <w:szCs w:val="18"/>
          <w:lang w:val="ro-RO"/>
        </w:rPr>
        <w:t>o</w:t>
      </w:r>
      <w:r w:rsidRPr="00E01B5C">
        <w:rPr>
          <w:rFonts w:ascii="PermianSerifTypeface" w:hAnsi="PermianSerifTypeface" w:cs="Times New Roman"/>
          <w:bCs/>
          <w:sz w:val="18"/>
          <w:szCs w:val="18"/>
          <w:lang w:val="ro-RO"/>
        </w:rPr>
        <w:t>.138</w:t>
      </w:r>
      <w:r>
        <w:rPr>
          <w:rFonts w:ascii="PermianSerifTypeface" w:hAnsi="PermianSerifTypeface" w:cs="Times New Roman"/>
          <w:bCs/>
          <w:sz w:val="18"/>
          <w:szCs w:val="18"/>
          <w:lang w:val="ro-RO"/>
        </w:rPr>
        <w:t xml:space="preserve"> (10313)</w:t>
      </w:r>
      <w:r w:rsidRPr="00E01B5C">
        <w:rPr>
          <w:rFonts w:ascii="PermianSerifTypeface" w:hAnsi="PermianSerifTypeface" w:cs="Times New Roman"/>
          <w:bCs/>
          <w:sz w:val="18"/>
          <w:szCs w:val="18"/>
          <w:lang w:val="ro-RO"/>
        </w:rPr>
        <w:t xml:space="preserve"> art.222 </w:t>
      </w:r>
      <w:r>
        <w:rPr>
          <w:rFonts w:ascii="PermianSerifTypeface" w:hAnsi="PermianSerifTypeface" w:cs="Times New Roman"/>
          <w:bCs/>
          <w:sz w:val="18"/>
          <w:szCs w:val="18"/>
          <w:lang w:val="ro-RO"/>
        </w:rPr>
        <w:t>of</w:t>
      </w:r>
      <w:r w:rsidRPr="00E01B5C">
        <w:rPr>
          <w:rFonts w:ascii="PermianSerifTypeface" w:hAnsi="PermianSerifTypeface" w:cs="Times New Roman"/>
          <w:bCs/>
          <w:sz w:val="18"/>
          <w:szCs w:val="18"/>
          <w:lang w:val="ro-RO"/>
        </w:rPr>
        <w:t xml:space="preserve"> 25.03.2026</w:t>
      </w:r>
    </w:p>
    <w:p w14:paraId="0C86455C" w14:textId="77777777" w:rsidR="004E4549" w:rsidRPr="004E4549" w:rsidRDefault="004E4549" w:rsidP="00D777E4">
      <w:pPr>
        <w:spacing w:line="276" w:lineRule="auto"/>
        <w:jc w:val="center"/>
        <w:rPr>
          <w:rFonts w:ascii="PermianSerifTypeface" w:hAnsi="PermianSerifTypeface" w:cs="Times New Roman"/>
          <w:b/>
          <w:bCs/>
          <w:sz w:val="24"/>
          <w:szCs w:val="24"/>
        </w:rPr>
      </w:pPr>
    </w:p>
    <w:p w14:paraId="561820BB" w14:textId="77777777" w:rsidR="004E4549" w:rsidRPr="00C57F89" w:rsidRDefault="004E4549" w:rsidP="004E4549">
      <w:pPr>
        <w:spacing w:line="276" w:lineRule="auto"/>
        <w:jc w:val="right"/>
        <w:rPr>
          <w:rFonts w:ascii="PermianSerifTypeface" w:hAnsi="PermianSerifTypeface" w:cs="Times New Roman"/>
          <w:sz w:val="24"/>
          <w:szCs w:val="24"/>
          <w:lang w:val="en-GB"/>
        </w:rPr>
      </w:pPr>
      <w:r w:rsidRPr="0082685C">
        <w:rPr>
          <w:rFonts w:ascii="PermianSerifTypeface" w:hAnsi="PermianSerifTypeface" w:cs="Times New Roman"/>
          <w:sz w:val="24"/>
          <w:szCs w:val="24"/>
          <w:lang w:val="en-GB"/>
        </w:rPr>
        <w:t>Approved</w:t>
      </w:r>
      <w:r w:rsidRPr="00C57F89">
        <w:rPr>
          <w:rFonts w:ascii="PermianSerifTypeface" w:hAnsi="PermianSerifTypeface" w:cs="Times New Roman"/>
          <w:sz w:val="24"/>
          <w:szCs w:val="24"/>
          <w:lang w:val="en-GB"/>
        </w:rPr>
        <w:br/>
      </w:r>
      <w:r w:rsidRPr="0082685C">
        <w:rPr>
          <w:rFonts w:ascii="PermianSerifTypeface" w:hAnsi="PermianSerifTypeface" w:cs="Times New Roman"/>
          <w:sz w:val="24"/>
          <w:szCs w:val="24"/>
          <w:lang w:val="en-GB"/>
        </w:rPr>
        <w:t>by Decision of the Executive Board</w:t>
      </w:r>
      <w:r w:rsidRPr="00C57F89">
        <w:rPr>
          <w:rFonts w:ascii="PermianSerifTypeface" w:hAnsi="PermianSerifTypeface" w:cs="Times New Roman"/>
          <w:sz w:val="24"/>
          <w:szCs w:val="24"/>
          <w:lang w:val="en-GB"/>
        </w:rPr>
        <w:br/>
      </w:r>
      <w:r w:rsidRPr="0082685C">
        <w:rPr>
          <w:rFonts w:ascii="PermianSerifTypeface" w:hAnsi="PermianSerifTypeface" w:cs="Times New Roman"/>
          <w:sz w:val="24"/>
          <w:szCs w:val="24"/>
          <w:lang w:val="en-GB"/>
        </w:rPr>
        <w:t>of the National Bank of Moldova</w:t>
      </w:r>
      <w:r w:rsidRPr="00C57F89">
        <w:rPr>
          <w:rFonts w:ascii="PermianSerifTypeface" w:hAnsi="PermianSerifTypeface" w:cs="Times New Roman"/>
          <w:sz w:val="24"/>
          <w:szCs w:val="24"/>
          <w:lang w:val="en-GB"/>
        </w:rPr>
        <w:br/>
      </w:r>
      <w:r>
        <w:rPr>
          <w:rFonts w:ascii="PermianSerifTypeface" w:hAnsi="PermianSerifTypeface" w:cs="Times New Roman"/>
          <w:sz w:val="24"/>
          <w:szCs w:val="24"/>
          <w:lang w:val="en-GB"/>
        </w:rPr>
        <w:t>No</w:t>
      </w:r>
      <w:r w:rsidRPr="00C57F89">
        <w:rPr>
          <w:rFonts w:ascii="PermianSerifTypeface" w:hAnsi="PermianSerifTypeface" w:cs="Times New Roman"/>
          <w:sz w:val="24"/>
          <w:szCs w:val="24"/>
          <w:lang w:val="en-GB"/>
        </w:rPr>
        <w:t xml:space="preserve"> </w:t>
      </w:r>
      <w:r>
        <w:rPr>
          <w:rFonts w:ascii="PermianSerifTypeface" w:hAnsi="PermianSerifTypeface" w:cs="Times New Roman"/>
          <w:sz w:val="24"/>
          <w:szCs w:val="24"/>
          <w:lang w:val="en-GB"/>
        </w:rPr>
        <w:t>69</w:t>
      </w:r>
      <w:r w:rsidRPr="00C57F89">
        <w:rPr>
          <w:rFonts w:ascii="PermianSerifTypeface" w:hAnsi="PermianSerifTypeface" w:cs="Times New Roman"/>
          <w:sz w:val="24"/>
          <w:szCs w:val="24"/>
          <w:lang w:val="en-GB"/>
        </w:rPr>
        <w:t>/2026</w:t>
      </w:r>
    </w:p>
    <w:p w14:paraId="0D717EBF" w14:textId="77777777" w:rsidR="004E4549" w:rsidRPr="00C57F89" w:rsidRDefault="004E4549" w:rsidP="00D777E4">
      <w:pPr>
        <w:spacing w:line="276" w:lineRule="auto"/>
        <w:jc w:val="center"/>
        <w:rPr>
          <w:rFonts w:ascii="PermianSerifTypeface" w:hAnsi="PermianSerifTypeface" w:cs="Times New Roman"/>
          <w:sz w:val="24"/>
          <w:szCs w:val="24"/>
          <w:lang w:val="en-GB"/>
        </w:rPr>
      </w:pPr>
    </w:p>
    <w:p w14:paraId="1CE468FF" w14:textId="2DF449CC" w:rsidR="008B603A" w:rsidRPr="00C57F89" w:rsidRDefault="0082685C" w:rsidP="00D777E4">
      <w:pPr>
        <w:spacing w:line="276" w:lineRule="auto"/>
        <w:jc w:val="center"/>
        <w:rPr>
          <w:rFonts w:ascii="PermianSerifTypeface" w:hAnsi="PermianSerifTypeface" w:cs="Times New Roman"/>
          <w:sz w:val="24"/>
          <w:szCs w:val="24"/>
          <w:lang w:val="en-GB"/>
        </w:rPr>
      </w:pPr>
      <w:r w:rsidRPr="0082685C">
        <w:rPr>
          <w:rFonts w:ascii="PermianSerifTypeface" w:hAnsi="PermianSerifTypeface" w:cs="Times New Roman"/>
          <w:b/>
          <w:bCs/>
          <w:sz w:val="24"/>
          <w:szCs w:val="24"/>
          <w:lang w:val="en-GB"/>
        </w:rPr>
        <w:t xml:space="preserve">Section </w:t>
      </w:r>
      <w:r w:rsidR="009D348C" w:rsidRPr="00C57F89">
        <w:rPr>
          <w:rFonts w:ascii="PermianSerifTypeface" w:hAnsi="PermianSerifTypeface" w:cs="Times New Roman"/>
          <w:b/>
          <w:bCs/>
          <w:sz w:val="24"/>
          <w:szCs w:val="24"/>
          <w:lang w:val="en-GB"/>
        </w:rPr>
        <w:t>1</w:t>
      </w:r>
      <w:r w:rsidR="008B603A" w:rsidRPr="00C57F89">
        <w:rPr>
          <w:rFonts w:ascii="PermianSerifTypeface" w:hAnsi="PermianSerifTypeface" w:cs="Times New Roman"/>
          <w:b/>
          <w:bCs/>
          <w:sz w:val="24"/>
          <w:szCs w:val="24"/>
          <w:lang w:val="en-GB"/>
        </w:rPr>
        <w:br/>
      </w:r>
      <w:r w:rsidRPr="0082685C">
        <w:rPr>
          <w:rFonts w:ascii="PermianSerifTypeface" w:hAnsi="PermianSerifTypeface" w:cs="Times New Roman"/>
          <w:b/>
          <w:bCs/>
          <w:sz w:val="24"/>
          <w:szCs w:val="24"/>
          <w:lang w:val="en-GB"/>
        </w:rPr>
        <w:t>GENERAL PROVISIONS</w:t>
      </w:r>
    </w:p>
    <w:p w14:paraId="617B70F3" w14:textId="11F7B276" w:rsidR="001A4969" w:rsidRPr="00C57F89" w:rsidRDefault="00475040"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lang w:val="en-GB"/>
        </w:rPr>
      </w:pPr>
      <w:r w:rsidRPr="00475040">
        <w:rPr>
          <w:rFonts w:ascii="PermianSerifTypeface" w:hAnsi="PermianSerifTypeface" w:cs="Times New Roman"/>
          <w:sz w:val="24"/>
          <w:szCs w:val="24"/>
          <w:lang w:val="en-GB"/>
        </w:rPr>
        <w:t>The Regulation on the supervision of the Single Central Securities Depository (hereinafter referred to as the Regulation) establishes the rules for supervising and monitoring, organizing and conducting the control procedure applied to the Single Central Securities Depository (hereinafter referred to as the Single Central Depository) by the National Bank of Moldova (hereinafter referred to as the NBM), the rules on issuing recommendations, issuing prescriptions, and applying sanctions against it under the conditions of Articles 23, 26, and 41 of Law No 234/2016 on the Single Central Securities Depository (hereinafter referred to as Law No 234/2016)</w:t>
      </w:r>
      <w:r w:rsidR="008B603A" w:rsidRPr="00C57F89">
        <w:rPr>
          <w:rFonts w:ascii="PermianSerifTypeface" w:hAnsi="PermianSerifTypeface" w:cs="Times New Roman"/>
          <w:sz w:val="24"/>
          <w:szCs w:val="24"/>
          <w:lang w:val="en-GB"/>
        </w:rPr>
        <w:t>.</w:t>
      </w:r>
    </w:p>
    <w:p w14:paraId="78DA1807" w14:textId="3125F46F" w:rsidR="002F0B58" w:rsidRPr="00C57F89" w:rsidRDefault="00475040"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lang w:val="en-GB"/>
        </w:rPr>
      </w:pPr>
      <w:r w:rsidRPr="00475040">
        <w:rPr>
          <w:rFonts w:ascii="PermianSerifTypeface" w:hAnsi="PermianSerifTypeface" w:cs="Times New Roman"/>
          <w:sz w:val="24"/>
          <w:szCs w:val="24"/>
          <w:lang w:val="en-GB"/>
        </w:rPr>
        <w:t xml:space="preserve">The terms and expressions used in this Regulation shall have the meanings provided for in Law No 548/1995 on the National Bank of Moldova (hereinafter – Law No 548/1995), Law No 234/2016 and Law No 183/2016 on the </w:t>
      </w:r>
      <w:r w:rsidR="00C368E1">
        <w:rPr>
          <w:rFonts w:ascii="PermianSerifTypeface" w:hAnsi="PermianSerifTypeface" w:cs="Times New Roman"/>
          <w:sz w:val="24"/>
          <w:szCs w:val="24"/>
          <w:lang w:val="en-GB"/>
        </w:rPr>
        <w:t>S</w:t>
      </w:r>
      <w:r w:rsidRPr="00475040">
        <w:rPr>
          <w:rFonts w:ascii="PermianSerifTypeface" w:hAnsi="PermianSerifTypeface" w:cs="Times New Roman"/>
          <w:sz w:val="24"/>
          <w:szCs w:val="24"/>
          <w:lang w:val="en-GB"/>
        </w:rPr>
        <w:t>ettlement finality in payment and financial instruments settlement systems (hereinafter referred to as Law No 183/2016</w:t>
      </w:r>
      <w:r w:rsidR="004254FD" w:rsidRPr="00C57F89">
        <w:rPr>
          <w:rFonts w:ascii="PermianSerifTypeface" w:eastAsia="Times New Roman" w:hAnsi="PermianSerifTypeface" w:cs="Times New Roman"/>
          <w:sz w:val="24"/>
          <w:szCs w:val="24"/>
          <w:lang w:val="en-GB" w:eastAsia="ro-MD"/>
        </w:rPr>
        <w:t>)</w:t>
      </w:r>
      <w:r w:rsidR="00117E89" w:rsidRPr="00C57F89">
        <w:rPr>
          <w:rFonts w:ascii="PermianSerifTypeface" w:hAnsi="PermianSerifTypeface" w:cs="Times New Roman"/>
          <w:sz w:val="24"/>
          <w:szCs w:val="24"/>
          <w:lang w:val="en-GB"/>
        </w:rPr>
        <w:t>.</w:t>
      </w:r>
    </w:p>
    <w:p w14:paraId="52A0C717" w14:textId="4BE0A7B0" w:rsidR="001A4969" w:rsidRPr="00C57F89" w:rsidRDefault="00475040" w:rsidP="00D777E4">
      <w:pPr>
        <w:pStyle w:val="ListParagraph"/>
        <w:numPr>
          <w:ilvl w:val="0"/>
          <w:numId w:val="1"/>
        </w:numPr>
        <w:tabs>
          <w:tab w:val="left" w:pos="851"/>
        </w:tabs>
        <w:spacing w:line="276" w:lineRule="auto"/>
        <w:ind w:left="0" w:firstLine="567"/>
        <w:jc w:val="both"/>
        <w:rPr>
          <w:rFonts w:ascii="PermianSerifTypeface" w:hAnsi="PermianSerifTypeface" w:cs="Times New Roman"/>
          <w:sz w:val="24"/>
          <w:szCs w:val="24"/>
          <w:lang w:val="en-GB"/>
        </w:rPr>
      </w:pPr>
      <w:r w:rsidRPr="00475040">
        <w:rPr>
          <w:rFonts w:ascii="PermianSerifTypeface" w:eastAsia="Times New Roman" w:hAnsi="PermianSerifTypeface" w:cs="Times New Roman"/>
          <w:sz w:val="24"/>
          <w:szCs w:val="24"/>
          <w:lang w:val="en-GB" w:eastAsia="ro-MD"/>
        </w:rPr>
        <w:t>The NBM supervises the Single Central Depository in order to verify compliance with the provisions of Law No 234/2016 and the normative acts issued for its enforcement, Law No 1134/1997 on joint stock companies (hereinafter referred to as Law No 1134/1997) and Law No 183/2016, as well as to verify the application of policies for identifying, managing, monitoring, and reporting risks to which the Single Central Depository is or may be exposed</w:t>
      </w:r>
      <w:r w:rsidR="001A4969" w:rsidRPr="00C57F89">
        <w:rPr>
          <w:rFonts w:ascii="PermianSerifTypeface" w:eastAsia="Times New Roman" w:hAnsi="PermianSerifTypeface" w:cs="Times New Roman"/>
          <w:sz w:val="24"/>
          <w:szCs w:val="24"/>
          <w:lang w:val="en-GB" w:eastAsia="ro-MD"/>
        </w:rPr>
        <w:t>.</w:t>
      </w:r>
    </w:p>
    <w:p w14:paraId="677262B1" w14:textId="782A1B13" w:rsidR="00A635DC" w:rsidRPr="005A5946" w:rsidRDefault="00C368E1"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sz w:val="24"/>
          <w:szCs w:val="24"/>
          <w:lang w:val="en-GB"/>
        </w:rPr>
      </w:pPr>
      <w:r w:rsidRPr="005A5946">
        <w:rPr>
          <w:rFonts w:ascii="PermianSerifTypeface" w:hAnsi="PermianSerifTypeface" w:cs="Times New Roman"/>
          <w:sz w:val="24"/>
          <w:szCs w:val="24"/>
          <w:lang w:val="en-GB"/>
        </w:rPr>
        <w:t>Within the supervisory process, including control procedures, notification of individual acts/documents shall be carried out by electronic means of communication, such as official e-mail accounts and/or NBM information systems</w:t>
      </w:r>
      <w:r w:rsidR="006D4D0B" w:rsidRPr="005A5946">
        <w:rPr>
          <w:rFonts w:ascii="PermianSerifTypeface" w:hAnsi="PermianSerifTypeface" w:cs="Times New Roman"/>
          <w:sz w:val="24"/>
          <w:szCs w:val="24"/>
          <w:lang w:val="en-GB"/>
        </w:rPr>
        <w:t>.</w:t>
      </w:r>
    </w:p>
    <w:p w14:paraId="7D029CE3" w14:textId="288C09AC" w:rsidR="001A4969" w:rsidRPr="00C57F89" w:rsidRDefault="00C368E1" w:rsidP="00D777E4">
      <w:pPr>
        <w:pStyle w:val="ListParagraph"/>
        <w:numPr>
          <w:ilvl w:val="0"/>
          <w:numId w:val="1"/>
        </w:numPr>
        <w:tabs>
          <w:tab w:val="left" w:pos="851"/>
        </w:tabs>
        <w:spacing w:after="0" w:line="276" w:lineRule="auto"/>
        <w:ind w:left="0" w:firstLine="567"/>
        <w:contextualSpacing w:val="0"/>
        <w:jc w:val="both"/>
        <w:rPr>
          <w:rFonts w:ascii="PermianSerifTypeface" w:hAnsi="PermianSerifTypeface" w:cs="Times New Roman"/>
          <w:sz w:val="24"/>
          <w:szCs w:val="24"/>
          <w:lang w:val="en-GB"/>
        </w:rPr>
      </w:pPr>
      <w:r w:rsidRPr="00C368E1">
        <w:rPr>
          <w:rFonts w:ascii="PermianSerifTypeface" w:hAnsi="PermianSerifTypeface" w:cs="Times New Roman"/>
          <w:sz w:val="24"/>
          <w:szCs w:val="24"/>
          <w:lang w:val="en-GB"/>
        </w:rPr>
        <w:t xml:space="preserve">If the individual act/document cannot be notified through electronic communication means, the notification </w:t>
      </w:r>
      <w:r w:rsidR="001A3153">
        <w:rPr>
          <w:rFonts w:ascii="PermianSerifTypeface" w:hAnsi="PermianSerifTypeface" w:cs="Times New Roman"/>
          <w:sz w:val="24"/>
          <w:szCs w:val="24"/>
          <w:lang w:val="en-GB"/>
        </w:rPr>
        <w:t>shall</w:t>
      </w:r>
      <w:r w:rsidRPr="00C368E1">
        <w:rPr>
          <w:rFonts w:ascii="PermianSerifTypeface" w:hAnsi="PermianSerifTypeface" w:cs="Times New Roman"/>
          <w:sz w:val="24"/>
          <w:szCs w:val="24"/>
          <w:lang w:val="en-GB"/>
        </w:rPr>
        <w:t xml:space="preserve"> be carried out using one of the notification methods provided in Article 112 paragraph (1) letters a) - d) of Law No 548/1995, as applicable</w:t>
      </w:r>
      <w:r w:rsidR="001A4969" w:rsidRPr="00C57F89">
        <w:rPr>
          <w:rFonts w:ascii="PermianSerifTypeface" w:hAnsi="PermianSerifTypeface" w:cs="Times New Roman"/>
          <w:sz w:val="24"/>
          <w:szCs w:val="24"/>
          <w:lang w:val="en-GB"/>
        </w:rPr>
        <w:t xml:space="preserve">. </w:t>
      </w:r>
    </w:p>
    <w:p w14:paraId="6849A101" w14:textId="4F1E9022" w:rsidR="001A4969" w:rsidRPr="00C368E1" w:rsidRDefault="00C368E1"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sz w:val="24"/>
          <w:szCs w:val="24"/>
          <w:lang w:val="en-GB"/>
        </w:rPr>
      </w:pPr>
      <w:r w:rsidRPr="00C368E1">
        <w:rPr>
          <w:rFonts w:ascii="PermianSerifTypeface" w:hAnsi="PermianSerifTypeface" w:cs="Times New Roman"/>
          <w:color w:val="000000"/>
          <w:sz w:val="24"/>
          <w:szCs w:val="24"/>
          <w:shd w:val="clear" w:color="auto" w:fill="FFFFFF"/>
          <w:lang w:val="en-GB"/>
        </w:rPr>
        <w:lastRenderedPageBreak/>
        <w:t>If the notification methods applicable according to points 4 and 5 are unsuccessful, including in cases where the recipient is unavailable/cannot be contacted, the provisions of Article 112, paragraph (10) of Law No 548/1995 shall apply</w:t>
      </w:r>
      <w:r w:rsidR="001A4969" w:rsidRPr="00C368E1">
        <w:rPr>
          <w:rFonts w:ascii="PermianSerifTypeface" w:hAnsi="PermianSerifTypeface" w:cs="Times New Roman"/>
          <w:sz w:val="24"/>
          <w:szCs w:val="24"/>
          <w:lang w:val="en-GB"/>
        </w:rPr>
        <w:t xml:space="preserve">. </w:t>
      </w:r>
    </w:p>
    <w:p w14:paraId="6BB29CF8" w14:textId="12DE9AD9" w:rsidR="001A4969" w:rsidRPr="00C368E1" w:rsidRDefault="00C368E1" w:rsidP="00D777E4">
      <w:pPr>
        <w:pStyle w:val="ListParagraph"/>
        <w:numPr>
          <w:ilvl w:val="0"/>
          <w:numId w:val="1"/>
        </w:numPr>
        <w:tabs>
          <w:tab w:val="left" w:pos="851"/>
        </w:tabs>
        <w:spacing w:after="120" w:line="276" w:lineRule="auto"/>
        <w:ind w:left="0" w:firstLine="567"/>
        <w:contextualSpacing w:val="0"/>
        <w:jc w:val="both"/>
        <w:rPr>
          <w:rFonts w:ascii="PermianSerifTypeface" w:hAnsi="PermianSerifTypeface" w:cs="Times New Roman"/>
          <w:sz w:val="24"/>
          <w:szCs w:val="24"/>
          <w:lang w:val="en-GB"/>
        </w:rPr>
      </w:pPr>
      <w:r w:rsidRPr="00C368E1">
        <w:rPr>
          <w:rFonts w:ascii="PermianSerifTypeface" w:hAnsi="PermianSerifTypeface" w:cs="Times New Roman"/>
          <w:sz w:val="24"/>
          <w:szCs w:val="24"/>
          <w:lang w:val="en-GB"/>
        </w:rPr>
        <w:t>The individual act/document is considered notified under the conditions provided by Article 112, paragraph (1) letter a), paragraphs (3), (4), (8) – (10) of Law No 548/1995, depending on the notification method applied</w:t>
      </w:r>
      <w:r w:rsidR="001A4969" w:rsidRPr="00C368E1">
        <w:rPr>
          <w:rFonts w:ascii="PermianSerifTypeface" w:hAnsi="PermianSerifTypeface" w:cs="Times New Roman"/>
          <w:sz w:val="24"/>
          <w:szCs w:val="24"/>
          <w:lang w:val="en-GB"/>
        </w:rPr>
        <w:t>.</w:t>
      </w:r>
    </w:p>
    <w:p w14:paraId="27B01968" w14:textId="2407C071" w:rsidR="003D600B" w:rsidRPr="00C57F89" w:rsidRDefault="00530D3B" w:rsidP="00D777E4">
      <w:pPr>
        <w:tabs>
          <w:tab w:val="left" w:pos="1134"/>
        </w:tabs>
        <w:spacing w:after="0" w:line="276" w:lineRule="auto"/>
        <w:ind w:firstLine="709"/>
        <w:jc w:val="center"/>
        <w:rPr>
          <w:rFonts w:ascii="PermianSerifTypeface" w:hAnsi="PermianSerifTypeface" w:cs="Times New Roman"/>
          <w:b/>
          <w:bCs/>
          <w:sz w:val="24"/>
          <w:szCs w:val="24"/>
          <w:lang w:val="en-GB"/>
        </w:rPr>
      </w:pPr>
      <w:r w:rsidRPr="0082685C">
        <w:rPr>
          <w:rFonts w:ascii="PermianSerifTypeface" w:hAnsi="PermianSerifTypeface" w:cs="Times New Roman"/>
          <w:b/>
          <w:bCs/>
          <w:sz w:val="24"/>
          <w:szCs w:val="24"/>
          <w:lang w:val="en-GB"/>
        </w:rPr>
        <w:t xml:space="preserve">Section </w:t>
      </w:r>
      <w:r w:rsidR="009D348C" w:rsidRPr="00C57F89">
        <w:rPr>
          <w:rFonts w:ascii="PermianSerifTypeface" w:hAnsi="PermianSerifTypeface" w:cs="Times New Roman"/>
          <w:b/>
          <w:bCs/>
          <w:sz w:val="24"/>
          <w:szCs w:val="24"/>
          <w:lang w:val="en-GB"/>
        </w:rPr>
        <w:t>2</w:t>
      </w:r>
    </w:p>
    <w:p w14:paraId="3783192F" w14:textId="01B90A27" w:rsidR="009D348C" w:rsidRPr="00C57F89" w:rsidRDefault="00530D3B" w:rsidP="00D777E4">
      <w:pPr>
        <w:pStyle w:val="ListParagraph"/>
        <w:tabs>
          <w:tab w:val="left" w:pos="709"/>
        </w:tabs>
        <w:spacing w:line="276" w:lineRule="auto"/>
        <w:ind w:left="0" w:firstLine="142"/>
        <w:contextualSpacing w:val="0"/>
        <w:jc w:val="center"/>
        <w:rPr>
          <w:rFonts w:ascii="PermianSerifTypeface" w:hAnsi="PermianSerifTypeface" w:cs="Times New Roman"/>
          <w:b/>
          <w:sz w:val="24"/>
          <w:szCs w:val="24"/>
          <w:lang w:val="en-GB"/>
        </w:rPr>
      </w:pPr>
      <w:r w:rsidRPr="00530D3B">
        <w:rPr>
          <w:rFonts w:ascii="PermianSerifTypeface" w:hAnsi="PermianSerifTypeface" w:cs="Times New Roman"/>
          <w:b/>
          <w:color w:val="000000"/>
          <w:sz w:val="24"/>
          <w:szCs w:val="24"/>
        </w:rPr>
        <w:t>PERFORMING MONITORING</w:t>
      </w:r>
    </w:p>
    <w:p w14:paraId="56ED92C8" w14:textId="02D9B678" w:rsidR="00C259CA" w:rsidRPr="00530D3B" w:rsidRDefault="00530D3B" w:rsidP="00B44F58">
      <w:pPr>
        <w:pStyle w:val="ListParagraph"/>
        <w:numPr>
          <w:ilvl w:val="0"/>
          <w:numId w:val="1"/>
        </w:numPr>
        <w:tabs>
          <w:tab w:val="left" w:pos="993"/>
        </w:tabs>
        <w:spacing w:line="276" w:lineRule="auto"/>
        <w:ind w:left="0" w:firstLine="567"/>
        <w:jc w:val="both"/>
        <w:rPr>
          <w:rFonts w:ascii="PermianSerifTypeface" w:hAnsi="PermianSerifTypeface" w:cs="Times New Roman"/>
          <w:b/>
          <w:bCs/>
          <w:sz w:val="24"/>
          <w:szCs w:val="24"/>
          <w:lang w:val="en-GB"/>
        </w:rPr>
      </w:pPr>
      <w:proofErr w:type="gramStart"/>
      <w:r w:rsidRPr="00530D3B">
        <w:rPr>
          <w:rFonts w:ascii="PermianSerifTypeface" w:eastAsia="Times New Roman" w:hAnsi="PermianSerifTypeface" w:cs="Times New Roman"/>
          <w:sz w:val="24"/>
          <w:szCs w:val="24"/>
          <w:lang w:val="en-GB" w:eastAsia="ro-MD"/>
        </w:rPr>
        <w:t>For the purpose of</w:t>
      </w:r>
      <w:proofErr w:type="gramEnd"/>
      <w:r w:rsidRPr="00530D3B">
        <w:rPr>
          <w:rFonts w:ascii="PermianSerifTypeface" w:eastAsia="Times New Roman" w:hAnsi="PermianSerifTypeface" w:cs="Times New Roman"/>
          <w:sz w:val="24"/>
          <w:szCs w:val="24"/>
          <w:lang w:val="en-GB" w:eastAsia="ro-MD"/>
        </w:rPr>
        <w:t xml:space="preserve"> exercising the monitoring function by the NBM in accordance with the provisions of Article 23 of Law No 234/2016, the Single Central Depository will send to the NBM at the email address </w:t>
      </w:r>
      <w:r w:rsidR="00B44F58" w:rsidRPr="00530D3B">
        <w:rPr>
          <w:rFonts w:ascii="PermianSerifTypeface" w:eastAsia="Times New Roman" w:hAnsi="PermianSerifTypeface" w:cs="Times New Roman"/>
          <w:sz w:val="24"/>
          <w:szCs w:val="24"/>
          <w:lang w:val="en-GB" w:eastAsia="ro-MD"/>
        </w:rPr>
        <w:t>supraveghere.dcu@bnm.md</w:t>
      </w:r>
      <w:r w:rsidR="00C80547" w:rsidRPr="00530D3B">
        <w:rPr>
          <w:rFonts w:ascii="PermianSerifTypeface" w:eastAsia="Times New Roman" w:hAnsi="PermianSerifTypeface" w:cs="Times New Roman"/>
          <w:sz w:val="24"/>
          <w:szCs w:val="24"/>
          <w:lang w:val="en-GB" w:eastAsia="ro-MD"/>
        </w:rPr>
        <w:t>:</w:t>
      </w:r>
      <w:r w:rsidR="001B5908" w:rsidRPr="00530D3B">
        <w:rPr>
          <w:rFonts w:ascii="PermianSerifTypeface" w:eastAsia="Times New Roman" w:hAnsi="PermianSerifTypeface" w:cs="Times New Roman"/>
          <w:sz w:val="24"/>
          <w:szCs w:val="24"/>
          <w:lang w:val="en-GB" w:eastAsia="ro-MD"/>
        </w:rPr>
        <w:t xml:space="preserve"> </w:t>
      </w:r>
    </w:p>
    <w:p w14:paraId="506EF40A" w14:textId="3208D691" w:rsidR="001B5908" w:rsidRPr="00530D3B" w:rsidRDefault="00530D3B" w:rsidP="00B44F58">
      <w:pPr>
        <w:pStyle w:val="ListParagraph"/>
        <w:numPr>
          <w:ilvl w:val="1"/>
          <w:numId w:val="8"/>
        </w:numPr>
        <w:tabs>
          <w:tab w:val="left" w:pos="993"/>
          <w:tab w:val="left" w:pos="1418"/>
        </w:tabs>
        <w:spacing w:line="276" w:lineRule="auto"/>
        <w:ind w:left="0" w:firstLine="567"/>
        <w:jc w:val="both"/>
        <w:rPr>
          <w:rFonts w:ascii="PermianSerifTypeface" w:hAnsi="PermianSerifTypeface" w:cs="Times New Roman"/>
          <w:b/>
          <w:bCs/>
          <w:sz w:val="24"/>
          <w:szCs w:val="24"/>
          <w:lang w:val="en-GB"/>
        </w:rPr>
      </w:pPr>
      <w:r w:rsidRPr="00530D3B">
        <w:rPr>
          <w:rFonts w:ascii="PermianSerifTypeface" w:eastAsia="Times New Roman" w:hAnsi="PermianSerifTypeface" w:cs="Times New Roman"/>
          <w:sz w:val="24"/>
          <w:szCs w:val="24"/>
          <w:lang w:val="en-GB" w:eastAsia="ro-MD"/>
        </w:rPr>
        <w:t>quarterly, within a maximum of 20 working days after the end of the quarter, the following documents and information for the situation on the last day of the completed quarter</w:t>
      </w:r>
      <w:r w:rsidR="001B5908" w:rsidRPr="00530D3B">
        <w:rPr>
          <w:rFonts w:ascii="PermianSerifTypeface" w:eastAsia="Times New Roman" w:hAnsi="PermianSerifTypeface" w:cs="Times New Roman"/>
          <w:sz w:val="24"/>
          <w:szCs w:val="24"/>
          <w:lang w:val="en-GB" w:eastAsia="ro-MD"/>
        </w:rPr>
        <w:t>:</w:t>
      </w:r>
    </w:p>
    <w:p w14:paraId="008EB144" w14:textId="5784AC60" w:rsidR="00C259CA" w:rsidRPr="00C57F89" w:rsidRDefault="00530D3B" w:rsidP="00B44F58">
      <w:pPr>
        <w:pStyle w:val="ListParagraph"/>
        <w:numPr>
          <w:ilvl w:val="2"/>
          <w:numId w:val="10"/>
        </w:numPr>
        <w:tabs>
          <w:tab w:val="left" w:pos="993"/>
          <w:tab w:val="left" w:pos="1134"/>
        </w:tabs>
        <w:spacing w:line="276" w:lineRule="auto"/>
        <w:ind w:left="0" w:firstLine="567"/>
        <w:jc w:val="both"/>
        <w:rPr>
          <w:rFonts w:ascii="PermianSerifTypeface" w:hAnsi="PermianSerifTypeface" w:cs="Times New Roman"/>
          <w:sz w:val="24"/>
          <w:szCs w:val="24"/>
          <w:lang w:val="en-GB"/>
        </w:rPr>
      </w:pPr>
      <w:r w:rsidRPr="00530D3B">
        <w:rPr>
          <w:rFonts w:ascii="PermianSerifTypeface" w:eastAsia="Times New Roman" w:hAnsi="PermianSerifTypeface" w:cs="Times New Roman"/>
          <w:sz w:val="24"/>
          <w:szCs w:val="24"/>
          <w:lang w:val="en-GB" w:eastAsia="ro-MD"/>
        </w:rPr>
        <w:t xml:space="preserve">financial statements for the previous </w:t>
      </w:r>
      <w:proofErr w:type="gramStart"/>
      <w:r w:rsidRPr="00530D3B">
        <w:rPr>
          <w:rFonts w:ascii="PermianSerifTypeface" w:eastAsia="Times New Roman" w:hAnsi="PermianSerifTypeface" w:cs="Times New Roman"/>
          <w:sz w:val="24"/>
          <w:szCs w:val="24"/>
          <w:lang w:val="en-GB" w:eastAsia="ro-MD"/>
        </w:rPr>
        <w:t>quarter</w:t>
      </w:r>
      <w:r w:rsidR="001B5908" w:rsidRPr="00C57F89">
        <w:rPr>
          <w:rFonts w:ascii="PermianSerifTypeface" w:eastAsia="Times New Roman" w:hAnsi="PermianSerifTypeface" w:cs="Times New Roman"/>
          <w:sz w:val="24"/>
          <w:szCs w:val="24"/>
          <w:lang w:val="en-GB" w:eastAsia="ro-MD"/>
        </w:rPr>
        <w:t>;</w:t>
      </w:r>
      <w:proofErr w:type="gramEnd"/>
    </w:p>
    <w:p w14:paraId="439BC5ED" w14:textId="20CB4B3B" w:rsidR="00C259CA" w:rsidRPr="00C57F89" w:rsidRDefault="00530D3B"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sidRPr="00530D3B">
        <w:rPr>
          <w:rFonts w:ascii="PermianSerifTypeface" w:eastAsia="Times New Roman" w:hAnsi="PermianSerifTypeface" w:cs="Times New Roman"/>
          <w:sz w:val="24"/>
          <w:szCs w:val="24"/>
          <w:lang w:val="en-GB" w:eastAsia="ro-MD"/>
        </w:rPr>
        <w:t xml:space="preserve">information on the number and types of participants, issuers, and their open </w:t>
      </w:r>
      <w:proofErr w:type="gramStart"/>
      <w:r w:rsidRPr="00530D3B">
        <w:rPr>
          <w:rFonts w:ascii="PermianSerifTypeface" w:eastAsia="Times New Roman" w:hAnsi="PermianSerifTypeface" w:cs="Times New Roman"/>
          <w:sz w:val="24"/>
          <w:szCs w:val="24"/>
          <w:lang w:val="en-GB" w:eastAsia="ro-MD"/>
        </w:rPr>
        <w:t>accounts</w:t>
      </w:r>
      <w:r w:rsidR="001B5908" w:rsidRPr="00C57F89">
        <w:rPr>
          <w:rFonts w:ascii="PermianSerifTypeface" w:eastAsia="Times New Roman" w:hAnsi="PermianSerifTypeface" w:cs="Times New Roman"/>
          <w:sz w:val="24"/>
          <w:szCs w:val="24"/>
          <w:lang w:val="en-GB" w:eastAsia="ro-MD"/>
        </w:rPr>
        <w:t>;</w:t>
      </w:r>
      <w:proofErr w:type="gramEnd"/>
    </w:p>
    <w:p w14:paraId="464E9F7C" w14:textId="4951D270" w:rsidR="00C259CA" w:rsidRPr="00C57F89" w:rsidRDefault="00530D3B"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sidRPr="00530D3B">
        <w:rPr>
          <w:rFonts w:ascii="PermianSerifTypeface" w:eastAsia="Times New Roman" w:hAnsi="PermianSerifTypeface" w:cs="Times New Roman"/>
          <w:sz w:val="24"/>
          <w:szCs w:val="24"/>
          <w:lang w:val="en-GB" w:eastAsia="ro-MD"/>
        </w:rPr>
        <w:t xml:space="preserve">the number, type, and quantity of securities held and/or processed by the </w:t>
      </w:r>
      <w:r>
        <w:rPr>
          <w:rFonts w:ascii="PermianSerifTypeface" w:eastAsia="Times New Roman" w:hAnsi="PermianSerifTypeface" w:cs="Times New Roman"/>
          <w:sz w:val="24"/>
          <w:szCs w:val="24"/>
          <w:lang w:val="en-GB" w:eastAsia="ro-MD"/>
        </w:rPr>
        <w:t>S</w:t>
      </w:r>
      <w:r w:rsidRPr="00530D3B">
        <w:rPr>
          <w:rFonts w:ascii="PermianSerifTypeface" w:eastAsia="Times New Roman" w:hAnsi="PermianSerifTypeface" w:cs="Times New Roman"/>
          <w:sz w:val="24"/>
          <w:szCs w:val="24"/>
          <w:lang w:val="en-GB" w:eastAsia="ro-MD"/>
        </w:rPr>
        <w:t xml:space="preserve">ingle </w:t>
      </w:r>
      <w:r>
        <w:rPr>
          <w:rFonts w:ascii="PermianSerifTypeface" w:eastAsia="Times New Roman" w:hAnsi="PermianSerifTypeface" w:cs="Times New Roman"/>
          <w:sz w:val="24"/>
          <w:szCs w:val="24"/>
          <w:lang w:val="en-GB" w:eastAsia="ro-MD"/>
        </w:rPr>
        <w:t>C</w:t>
      </w:r>
      <w:r w:rsidRPr="00530D3B">
        <w:rPr>
          <w:rFonts w:ascii="PermianSerifTypeface" w:eastAsia="Times New Roman" w:hAnsi="PermianSerifTypeface" w:cs="Times New Roman"/>
          <w:sz w:val="24"/>
          <w:szCs w:val="24"/>
          <w:lang w:val="en-GB" w:eastAsia="ro-MD"/>
        </w:rPr>
        <w:t xml:space="preserve">entral </w:t>
      </w:r>
      <w:proofErr w:type="gramStart"/>
      <w:r>
        <w:rPr>
          <w:rFonts w:ascii="PermianSerifTypeface" w:eastAsia="Times New Roman" w:hAnsi="PermianSerifTypeface" w:cs="Times New Roman"/>
          <w:sz w:val="24"/>
          <w:szCs w:val="24"/>
          <w:lang w:val="en-GB" w:eastAsia="ro-MD"/>
        </w:rPr>
        <w:t>D</w:t>
      </w:r>
      <w:r w:rsidRPr="00530D3B">
        <w:rPr>
          <w:rFonts w:ascii="PermianSerifTypeface" w:eastAsia="Times New Roman" w:hAnsi="PermianSerifTypeface" w:cs="Times New Roman"/>
          <w:sz w:val="24"/>
          <w:szCs w:val="24"/>
          <w:lang w:val="en-GB" w:eastAsia="ro-MD"/>
        </w:rPr>
        <w:t>epository</w:t>
      </w:r>
      <w:r w:rsidR="00E65237" w:rsidRPr="00C57F89">
        <w:rPr>
          <w:rFonts w:ascii="PermianSerifTypeface" w:eastAsia="Times New Roman" w:hAnsi="PermianSerifTypeface" w:cs="Times New Roman"/>
          <w:sz w:val="24"/>
          <w:szCs w:val="24"/>
          <w:lang w:val="en-GB" w:eastAsia="ro-MD"/>
        </w:rPr>
        <w:t>;</w:t>
      </w:r>
      <w:proofErr w:type="gramEnd"/>
    </w:p>
    <w:p w14:paraId="738EEA82" w14:textId="6116D188" w:rsidR="00E603D0" w:rsidRPr="00C57F89" w:rsidRDefault="00591781"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Pr>
          <w:rFonts w:ascii="PermianSerifTypeface" w:hAnsi="PermianSerifTypeface" w:cs="Times New Roman"/>
          <w:sz w:val="24"/>
          <w:szCs w:val="24"/>
          <w:lang w:val="en-GB"/>
        </w:rPr>
        <w:t>r</w:t>
      </w:r>
      <w:r w:rsidR="00530D3B" w:rsidRPr="00530D3B">
        <w:rPr>
          <w:rFonts w:ascii="PermianSerifTypeface" w:hAnsi="PermianSerifTypeface" w:cs="Times New Roman"/>
          <w:sz w:val="24"/>
          <w:szCs w:val="24"/>
          <w:lang w:val="en-GB"/>
        </w:rPr>
        <w:t xml:space="preserve">eport on the performance of the securities settlement system, including an assessment of the system's </w:t>
      </w:r>
      <w:proofErr w:type="gramStart"/>
      <w:r w:rsidR="00530D3B" w:rsidRPr="00530D3B">
        <w:rPr>
          <w:rFonts w:ascii="PermianSerifTypeface" w:hAnsi="PermianSerifTypeface" w:cs="Times New Roman"/>
          <w:sz w:val="24"/>
          <w:szCs w:val="24"/>
          <w:lang w:val="en-GB"/>
        </w:rPr>
        <w:t>availability</w:t>
      </w:r>
      <w:r w:rsidR="00E603D0" w:rsidRPr="00C57F89">
        <w:rPr>
          <w:rFonts w:ascii="PermianSerifTypeface" w:hAnsi="PermianSerifTypeface" w:cs="Times New Roman"/>
          <w:sz w:val="24"/>
          <w:szCs w:val="24"/>
          <w:lang w:val="en-GB"/>
        </w:rPr>
        <w:t>;</w:t>
      </w:r>
      <w:proofErr w:type="gramEnd"/>
    </w:p>
    <w:p w14:paraId="4383992E" w14:textId="7A855F98" w:rsidR="00E603D0" w:rsidRPr="00C57F89" w:rsidRDefault="00530D3B"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sidRPr="00530D3B">
        <w:rPr>
          <w:rFonts w:ascii="PermianSerifTypeface" w:hAnsi="PermianSerifTypeface" w:cs="Times New Roman"/>
          <w:sz w:val="24"/>
          <w:szCs w:val="24"/>
          <w:lang w:val="en-GB"/>
        </w:rPr>
        <w:t xml:space="preserve">summary of the types of manual interventions performed by the Single Central </w:t>
      </w:r>
      <w:proofErr w:type="gramStart"/>
      <w:r w:rsidRPr="00530D3B">
        <w:rPr>
          <w:rFonts w:ascii="PermianSerifTypeface" w:hAnsi="PermianSerifTypeface" w:cs="Times New Roman"/>
          <w:sz w:val="24"/>
          <w:szCs w:val="24"/>
          <w:lang w:val="en-GB"/>
        </w:rPr>
        <w:t>Depository</w:t>
      </w:r>
      <w:r w:rsidR="00E603D0" w:rsidRPr="00C57F89">
        <w:rPr>
          <w:rFonts w:ascii="PermianSerifTypeface" w:hAnsi="PermianSerifTypeface" w:cs="Times New Roman"/>
          <w:sz w:val="24"/>
          <w:szCs w:val="24"/>
          <w:lang w:val="en-GB"/>
        </w:rPr>
        <w:t>;</w:t>
      </w:r>
      <w:proofErr w:type="gramEnd"/>
    </w:p>
    <w:p w14:paraId="778435A8" w14:textId="07A85D7A" w:rsidR="00E603D0" w:rsidRPr="00C57F89" w:rsidRDefault="00591781"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sidRPr="00591781">
        <w:rPr>
          <w:rFonts w:ascii="PermianSerifTypeface" w:hAnsi="PermianSerifTypeface" w:cs="Times New Roman"/>
          <w:sz w:val="24"/>
          <w:szCs w:val="24"/>
          <w:lang w:val="en-GB"/>
        </w:rPr>
        <w:t xml:space="preserve">information on the identification of critical operations and participants of the Single Central Depository, any changes to its recovery plan and business continuity plan, stress test scenarios and results, alert thresholds, and recovery tools of the Single Central </w:t>
      </w:r>
      <w:proofErr w:type="gramStart"/>
      <w:r w:rsidRPr="00591781">
        <w:rPr>
          <w:rFonts w:ascii="PermianSerifTypeface" w:hAnsi="PermianSerifTypeface" w:cs="Times New Roman"/>
          <w:sz w:val="24"/>
          <w:szCs w:val="24"/>
          <w:lang w:val="en-GB"/>
        </w:rPr>
        <w:t>Depository</w:t>
      </w:r>
      <w:r w:rsidR="00E603D0" w:rsidRPr="00C57F89">
        <w:rPr>
          <w:rFonts w:ascii="PermianSerifTypeface" w:hAnsi="PermianSerifTypeface" w:cs="Times New Roman"/>
          <w:sz w:val="24"/>
          <w:szCs w:val="24"/>
          <w:lang w:val="en-GB"/>
        </w:rPr>
        <w:t>;</w:t>
      </w:r>
      <w:proofErr w:type="gramEnd"/>
    </w:p>
    <w:p w14:paraId="169F8AAA" w14:textId="1093414C" w:rsidR="00CB1F2C" w:rsidRPr="00C57F89" w:rsidRDefault="00591781" w:rsidP="00B44F58">
      <w:pPr>
        <w:pStyle w:val="ListParagraph"/>
        <w:numPr>
          <w:ilvl w:val="2"/>
          <w:numId w:val="10"/>
        </w:numPr>
        <w:tabs>
          <w:tab w:val="left" w:pos="993"/>
          <w:tab w:val="left" w:pos="1134"/>
          <w:tab w:val="left" w:pos="1418"/>
        </w:tabs>
        <w:spacing w:line="276" w:lineRule="auto"/>
        <w:ind w:left="0" w:firstLine="567"/>
        <w:jc w:val="both"/>
        <w:rPr>
          <w:rFonts w:ascii="PermianSerifTypeface" w:hAnsi="PermianSerifTypeface" w:cs="Times New Roman"/>
          <w:sz w:val="24"/>
          <w:szCs w:val="24"/>
          <w:lang w:val="en-GB"/>
        </w:rPr>
      </w:pPr>
      <w:r>
        <w:rPr>
          <w:rFonts w:ascii="PermianSerifTypeface" w:hAnsi="PermianSerifTypeface" w:cs="Times New Roman"/>
          <w:sz w:val="24"/>
          <w:szCs w:val="24"/>
          <w:lang w:val="en-GB"/>
        </w:rPr>
        <w:t>i</w:t>
      </w:r>
      <w:r w:rsidRPr="00591781">
        <w:rPr>
          <w:rFonts w:ascii="PermianSerifTypeface" w:hAnsi="PermianSerifTypeface" w:cs="Times New Roman"/>
          <w:sz w:val="24"/>
          <w:szCs w:val="24"/>
          <w:lang w:val="en-GB"/>
        </w:rPr>
        <w:t xml:space="preserve">nformation regarding the number, type, and scope of reconciliation issues identified by the Single Central Depository, both internally and in relation to participants, regulated markets, or multilateral trading </w:t>
      </w:r>
      <w:proofErr w:type="gramStart"/>
      <w:r w:rsidRPr="00591781">
        <w:rPr>
          <w:rFonts w:ascii="PermianSerifTypeface" w:hAnsi="PermianSerifTypeface" w:cs="Times New Roman"/>
          <w:sz w:val="24"/>
          <w:szCs w:val="24"/>
          <w:lang w:val="en-GB"/>
        </w:rPr>
        <w:t>systems</w:t>
      </w:r>
      <w:r w:rsidR="00AB6A22" w:rsidRPr="00C57F89">
        <w:rPr>
          <w:rFonts w:ascii="PermianSerifTypeface" w:hAnsi="PermianSerifTypeface" w:cs="Times New Roman"/>
          <w:sz w:val="24"/>
          <w:szCs w:val="24"/>
          <w:lang w:val="en-GB"/>
        </w:rPr>
        <w:t>;</w:t>
      </w:r>
      <w:proofErr w:type="gramEnd"/>
    </w:p>
    <w:p w14:paraId="7491D22E" w14:textId="48AD237A" w:rsidR="00C259CA" w:rsidRPr="00591781" w:rsidRDefault="00591781" w:rsidP="00B44F58">
      <w:pPr>
        <w:pStyle w:val="ListParagraph"/>
        <w:numPr>
          <w:ilvl w:val="1"/>
          <w:numId w:val="9"/>
        </w:numPr>
        <w:tabs>
          <w:tab w:val="left" w:pos="993"/>
        </w:tabs>
        <w:spacing w:line="276" w:lineRule="auto"/>
        <w:ind w:left="0" w:firstLine="567"/>
        <w:jc w:val="both"/>
        <w:rPr>
          <w:rFonts w:ascii="PermianSerifTypeface" w:hAnsi="PermianSerifTypeface" w:cs="Times New Roman"/>
          <w:sz w:val="24"/>
          <w:szCs w:val="24"/>
          <w:lang w:val="en-GB"/>
        </w:rPr>
      </w:pPr>
      <w:r>
        <w:rPr>
          <w:rFonts w:ascii="PermianSerifTypeface" w:hAnsi="PermianSerifTypeface" w:cs="Times New Roman"/>
          <w:sz w:val="24"/>
          <w:szCs w:val="24"/>
          <w:lang w:val="en-GB"/>
        </w:rPr>
        <w:t>a</w:t>
      </w:r>
      <w:r w:rsidRPr="00591781">
        <w:rPr>
          <w:rFonts w:ascii="PermianSerifTypeface" w:hAnsi="PermianSerifTypeface" w:cs="Times New Roman"/>
          <w:sz w:val="24"/>
          <w:szCs w:val="24"/>
          <w:lang w:val="en-GB"/>
        </w:rPr>
        <w:t>nnually, by</w:t>
      </w:r>
      <w:r>
        <w:rPr>
          <w:rFonts w:ascii="PermianSerifTypeface" w:hAnsi="PermianSerifTypeface" w:cs="Times New Roman"/>
          <w:sz w:val="24"/>
          <w:szCs w:val="24"/>
          <w:lang w:val="en-GB"/>
        </w:rPr>
        <w:t xml:space="preserve"> 30</w:t>
      </w:r>
      <w:r w:rsidRPr="00591781">
        <w:rPr>
          <w:rFonts w:ascii="PermianSerifTypeface" w:hAnsi="PermianSerifTypeface" w:cs="Times New Roman"/>
          <w:sz w:val="24"/>
          <w:szCs w:val="24"/>
          <w:lang w:val="en-GB"/>
        </w:rPr>
        <w:t xml:space="preserve"> April, the following information and documents, referring to the previous management period (the period from 1</w:t>
      </w:r>
      <w:r>
        <w:rPr>
          <w:rFonts w:ascii="PermianSerifTypeface" w:hAnsi="PermianSerifTypeface" w:cs="Times New Roman"/>
          <w:sz w:val="24"/>
          <w:szCs w:val="24"/>
          <w:lang w:val="en-GB"/>
        </w:rPr>
        <w:t xml:space="preserve"> January</w:t>
      </w:r>
      <w:r w:rsidRPr="00591781">
        <w:rPr>
          <w:rFonts w:ascii="PermianSerifTypeface" w:hAnsi="PermianSerifTypeface" w:cs="Times New Roman"/>
          <w:sz w:val="24"/>
          <w:szCs w:val="24"/>
          <w:lang w:val="en-GB"/>
        </w:rPr>
        <w:t xml:space="preserve"> to 31</w:t>
      </w:r>
      <w:r>
        <w:rPr>
          <w:rFonts w:ascii="PermianSerifTypeface" w:hAnsi="PermianSerifTypeface" w:cs="Times New Roman"/>
          <w:sz w:val="24"/>
          <w:szCs w:val="24"/>
          <w:lang w:val="en-GB"/>
        </w:rPr>
        <w:t xml:space="preserve"> December</w:t>
      </w:r>
      <w:r w:rsidRPr="00591781">
        <w:rPr>
          <w:rFonts w:ascii="PermianSerifTypeface" w:hAnsi="PermianSerifTypeface" w:cs="Times New Roman"/>
          <w:sz w:val="24"/>
          <w:szCs w:val="24"/>
          <w:lang w:val="en-GB"/>
        </w:rPr>
        <w:t xml:space="preserve"> of the previous year</w:t>
      </w:r>
      <w:r w:rsidR="001C5D90" w:rsidRPr="00591781">
        <w:rPr>
          <w:rFonts w:ascii="PermianSerifTypeface" w:hAnsi="PermianSerifTypeface" w:cs="Times New Roman"/>
          <w:sz w:val="24"/>
          <w:szCs w:val="24"/>
          <w:lang w:val="en-GB"/>
        </w:rPr>
        <w:t>)</w:t>
      </w:r>
      <w:r w:rsidR="00A2212D" w:rsidRPr="00591781">
        <w:rPr>
          <w:rFonts w:ascii="PermianSerifTypeface" w:hAnsi="PermianSerifTypeface" w:cs="Times New Roman"/>
          <w:sz w:val="24"/>
          <w:szCs w:val="24"/>
          <w:lang w:val="en-GB"/>
        </w:rPr>
        <w:t>:</w:t>
      </w:r>
    </w:p>
    <w:p w14:paraId="1E99A258" w14:textId="40A9BBE0" w:rsidR="004C57FB" w:rsidRPr="00C57F89" w:rsidRDefault="00591781"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sz w:val="24"/>
          <w:szCs w:val="24"/>
          <w:lang w:val="en-GB" w:eastAsia="ro-MD"/>
        </w:rPr>
      </w:pPr>
      <w:r w:rsidRPr="00591781">
        <w:rPr>
          <w:rFonts w:ascii="PermianSerifTypeface" w:eastAsia="Times New Roman" w:hAnsi="PermianSerifTypeface" w:cs="Times New Roman"/>
          <w:sz w:val="24"/>
          <w:szCs w:val="24"/>
          <w:lang w:val="en-GB" w:eastAsia="ro-MD"/>
        </w:rPr>
        <w:t>the activity report of the Single Central Depository, which shall include at least the following</w:t>
      </w:r>
      <w:r w:rsidR="00C259CA" w:rsidRPr="00C57F89">
        <w:rPr>
          <w:rFonts w:ascii="PermianSerifTypeface" w:eastAsia="Times New Roman" w:hAnsi="PermianSerifTypeface" w:cs="Times New Roman"/>
          <w:sz w:val="24"/>
          <w:szCs w:val="24"/>
          <w:lang w:val="en-GB" w:eastAsia="ro-MD"/>
        </w:rPr>
        <w:t>:</w:t>
      </w:r>
      <w:r w:rsidR="005F7EBE" w:rsidRPr="00C57F89">
        <w:rPr>
          <w:rFonts w:ascii="PermianSerifTypeface" w:eastAsia="Times New Roman" w:hAnsi="PermianSerifTypeface" w:cs="Times New Roman"/>
          <w:sz w:val="24"/>
          <w:szCs w:val="24"/>
          <w:lang w:val="en-GB" w:eastAsia="ro-MD"/>
        </w:rPr>
        <w:t xml:space="preserve"> </w:t>
      </w:r>
      <w:r w:rsidR="00C259CA" w:rsidRPr="00C57F89">
        <w:rPr>
          <w:rFonts w:ascii="PermianSerifTypeface" w:eastAsia="Times New Roman" w:hAnsi="PermianSerifTypeface" w:cs="Times New Roman"/>
          <w:sz w:val="24"/>
          <w:szCs w:val="24"/>
          <w:lang w:val="en-GB" w:eastAsia="ro-MD"/>
        </w:rPr>
        <w:t xml:space="preserve"> </w:t>
      </w:r>
    </w:p>
    <w:p w14:paraId="2DF5EE12" w14:textId="159644F5" w:rsidR="00EE7D9B" w:rsidRPr="00494037" w:rsidRDefault="00494037"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val="en-GB" w:eastAsia="ro-MD"/>
        </w:rPr>
      </w:pPr>
      <w:r w:rsidRPr="00494037">
        <w:rPr>
          <w:rFonts w:ascii="PermianSerifTypeface" w:eastAsia="Times New Roman" w:hAnsi="PermianSerifTypeface" w:cs="Times New Roman"/>
          <w:sz w:val="24"/>
          <w:szCs w:val="24"/>
          <w:lang w:val="en-GB" w:eastAsia="ro-MD"/>
        </w:rPr>
        <w:t xml:space="preserve">information regarding internal </w:t>
      </w:r>
      <w:r w:rsidR="00762244">
        <w:rPr>
          <w:rFonts w:ascii="PermianSerifTypeface" w:eastAsia="Times New Roman" w:hAnsi="PermianSerifTypeface" w:cs="Times New Roman"/>
          <w:sz w:val="24"/>
          <w:szCs w:val="24"/>
          <w:lang w:val="en-GB" w:eastAsia="ro-MD"/>
        </w:rPr>
        <w:t>inspections</w:t>
      </w:r>
      <w:r w:rsidRPr="00494037">
        <w:rPr>
          <w:rFonts w:ascii="PermianSerifTypeface" w:eastAsia="Times New Roman" w:hAnsi="PermianSerifTypeface" w:cs="Times New Roman"/>
          <w:sz w:val="24"/>
          <w:szCs w:val="24"/>
          <w:lang w:val="en-GB" w:eastAsia="ro-MD"/>
        </w:rPr>
        <w:t xml:space="preserve">, audits conducted by the Single Central Depository, cases of identified conflicts of interest, and how they were </w:t>
      </w:r>
      <w:proofErr w:type="gramStart"/>
      <w:r w:rsidRPr="00494037">
        <w:rPr>
          <w:rFonts w:ascii="PermianSerifTypeface" w:eastAsia="Times New Roman" w:hAnsi="PermianSerifTypeface" w:cs="Times New Roman"/>
          <w:sz w:val="24"/>
          <w:szCs w:val="24"/>
          <w:lang w:val="en-GB" w:eastAsia="ro-MD"/>
        </w:rPr>
        <w:t>managed</w:t>
      </w:r>
      <w:r w:rsidR="00C259CA" w:rsidRPr="00494037">
        <w:rPr>
          <w:rFonts w:ascii="PermianSerifTypeface" w:eastAsia="Times New Roman" w:hAnsi="PermianSerifTypeface" w:cs="Times New Roman"/>
          <w:sz w:val="24"/>
          <w:szCs w:val="24"/>
          <w:lang w:val="en-GB" w:eastAsia="ro-MD"/>
        </w:rPr>
        <w:t>;</w:t>
      </w:r>
      <w:proofErr w:type="gramEnd"/>
      <w:r w:rsidR="00C259CA" w:rsidRPr="00494037">
        <w:rPr>
          <w:rFonts w:ascii="PermianSerifTypeface" w:eastAsia="Times New Roman" w:hAnsi="PermianSerifTypeface" w:cs="Times New Roman"/>
          <w:sz w:val="24"/>
          <w:szCs w:val="24"/>
          <w:lang w:val="en-GB" w:eastAsia="ro-MD"/>
        </w:rPr>
        <w:t xml:space="preserve"> </w:t>
      </w:r>
    </w:p>
    <w:p w14:paraId="456E00C1" w14:textId="762DC2A7" w:rsidR="00EE7D9B" w:rsidRPr="00C57F89" w:rsidRDefault="00494037"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val="en-GB" w:eastAsia="ro-MD"/>
        </w:rPr>
      </w:pPr>
      <w:r>
        <w:rPr>
          <w:rFonts w:ascii="PermianSerifTypeface" w:hAnsi="PermianSerifTypeface" w:cs="Times New Roman"/>
          <w:color w:val="000000"/>
          <w:sz w:val="24"/>
          <w:szCs w:val="24"/>
          <w:lang w:val="en-GB"/>
        </w:rPr>
        <w:lastRenderedPageBreak/>
        <w:t>t</w:t>
      </w:r>
      <w:r w:rsidRPr="00494037">
        <w:rPr>
          <w:rFonts w:ascii="PermianSerifTypeface" w:hAnsi="PermianSerifTypeface" w:cs="Times New Roman"/>
          <w:color w:val="000000"/>
          <w:sz w:val="24"/>
          <w:szCs w:val="24"/>
          <w:lang w:val="en-GB"/>
        </w:rPr>
        <w:t xml:space="preserve">he risk management framework referring to the risk management policy, impact analysis of activities, risk tolerance limits, procedures and measures for risk treatment, and the risk </w:t>
      </w:r>
      <w:proofErr w:type="gramStart"/>
      <w:r w:rsidRPr="00494037">
        <w:rPr>
          <w:rFonts w:ascii="PermianSerifTypeface" w:hAnsi="PermianSerifTypeface" w:cs="Times New Roman"/>
          <w:color w:val="000000"/>
          <w:sz w:val="24"/>
          <w:szCs w:val="24"/>
          <w:lang w:val="en-GB"/>
        </w:rPr>
        <w:t>register</w:t>
      </w:r>
      <w:r w:rsidR="00C259CA" w:rsidRPr="00C57F89">
        <w:rPr>
          <w:rFonts w:ascii="PermianSerifTypeface" w:eastAsia="Times New Roman" w:hAnsi="PermianSerifTypeface" w:cs="Times New Roman"/>
          <w:sz w:val="24"/>
          <w:szCs w:val="24"/>
          <w:lang w:val="en-GB" w:eastAsia="ro-MD"/>
        </w:rPr>
        <w:t>;</w:t>
      </w:r>
      <w:proofErr w:type="gramEnd"/>
      <w:r w:rsidR="005F7EBE" w:rsidRPr="00C57F89">
        <w:rPr>
          <w:rFonts w:ascii="PermianSerifTypeface" w:eastAsia="Times New Roman" w:hAnsi="PermianSerifTypeface" w:cs="Times New Roman"/>
          <w:sz w:val="24"/>
          <w:szCs w:val="24"/>
          <w:lang w:val="en-GB" w:eastAsia="ro-MD"/>
        </w:rPr>
        <w:t xml:space="preserve"> </w:t>
      </w:r>
    </w:p>
    <w:p w14:paraId="673880B1" w14:textId="13EB1E09" w:rsidR="00EE7D9B" w:rsidRPr="00C57F89" w:rsidRDefault="00494037"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val="en-GB" w:eastAsia="ro-MD"/>
        </w:rPr>
      </w:pPr>
      <w:r w:rsidRPr="00494037">
        <w:rPr>
          <w:rFonts w:ascii="PermianSerifTypeface" w:eastAsia="Times New Roman" w:hAnsi="PermianSerifTypeface" w:cs="Times New Roman"/>
          <w:color w:val="000000" w:themeColor="text1"/>
          <w:sz w:val="24"/>
          <w:szCs w:val="24"/>
          <w:lang w:val="en-GB" w:eastAsia="ro-MD"/>
        </w:rPr>
        <w:t xml:space="preserve">the entity to which the activities or services of the Single Central Depository have been outsourced or the capital market infrastructure entities with which it is </w:t>
      </w:r>
      <w:proofErr w:type="gramStart"/>
      <w:r w:rsidRPr="00494037">
        <w:rPr>
          <w:rFonts w:ascii="PermianSerifTypeface" w:eastAsia="Times New Roman" w:hAnsi="PermianSerifTypeface" w:cs="Times New Roman"/>
          <w:color w:val="000000" w:themeColor="text1"/>
          <w:sz w:val="24"/>
          <w:szCs w:val="24"/>
          <w:lang w:val="en-GB" w:eastAsia="ro-MD"/>
        </w:rPr>
        <w:t>connected</w:t>
      </w:r>
      <w:r w:rsidR="003C646F" w:rsidRPr="00C57F89">
        <w:rPr>
          <w:rFonts w:ascii="PermianSerifTypeface" w:eastAsia="Times New Roman" w:hAnsi="PermianSerifTypeface" w:cs="Times New Roman"/>
          <w:sz w:val="24"/>
          <w:szCs w:val="24"/>
          <w:lang w:val="en-GB" w:eastAsia="ro-MD"/>
        </w:rPr>
        <w:t>;</w:t>
      </w:r>
      <w:proofErr w:type="gramEnd"/>
    </w:p>
    <w:p w14:paraId="5D9F0CC7" w14:textId="6F21E86F" w:rsidR="00EE7D9B" w:rsidRPr="00C57F89" w:rsidRDefault="00494037"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val="en-GB" w:eastAsia="ro-MD"/>
        </w:rPr>
      </w:pPr>
      <w:r w:rsidRPr="00494037">
        <w:rPr>
          <w:rFonts w:ascii="PermianSerifTypeface" w:eastAsia="Times New Roman" w:hAnsi="PermianSerifTypeface" w:cs="Times New Roman"/>
          <w:sz w:val="24"/>
          <w:szCs w:val="24"/>
          <w:lang w:val="en-GB" w:eastAsia="ro-MD"/>
        </w:rPr>
        <w:t xml:space="preserve">information regarding complaints received by the Single Central </w:t>
      </w:r>
      <w:proofErr w:type="gramStart"/>
      <w:r w:rsidRPr="00494037">
        <w:rPr>
          <w:rFonts w:ascii="PermianSerifTypeface" w:eastAsia="Times New Roman" w:hAnsi="PermianSerifTypeface" w:cs="Times New Roman"/>
          <w:sz w:val="24"/>
          <w:szCs w:val="24"/>
          <w:lang w:val="en-GB" w:eastAsia="ro-MD"/>
        </w:rPr>
        <w:t>Depository</w:t>
      </w:r>
      <w:r w:rsidR="003C646F" w:rsidRPr="00C57F89">
        <w:rPr>
          <w:rFonts w:ascii="PermianSerifTypeface" w:eastAsia="Times New Roman" w:hAnsi="PermianSerifTypeface" w:cs="Times New Roman"/>
          <w:sz w:val="24"/>
          <w:szCs w:val="24"/>
          <w:lang w:val="en-GB" w:eastAsia="ro-MD"/>
        </w:rPr>
        <w:t>;</w:t>
      </w:r>
      <w:proofErr w:type="gramEnd"/>
    </w:p>
    <w:p w14:paraId="372C68B2" w14:textId="7EACC091" w:rsidR="004C57FB" w:rsidRPr="00C57F89" w:rsidRDefault="00494037" w:rsidP="00B44F58">
      <w:pPr>
        <w:pStyle w:val="ListParagraph"/>
        <w:numPr>
          <w:ilvl w:val="3"/>
          <w:numId w:val="12"/>
        </w:numPr>
        <w:tabs>
          <w:tab w:val="left" w:pos="993"/>
          <w:tab w:val="left" w:pos="1134"/>
          <w:tab w:val="left" w:pos="1276"/>
        </w:tabs>
        <w:spacing w:after="0" w:line="276" w:lineRule="auto"/>
        <w:ind w:left="0" w:firstLine="567"/>
        <w:jc w:val="both"/>
        <w:rPr>
          <w:rFonts w:ascii="PermianSerifTypeface" w:eastAsia="Times New Roman" w:hAnsi="PermianSerifTypeface" w:cs="Times New Roman"/>
          <w:sz w:val="24"/>
          <w:szCs w:val="24"/>
          <w:lang w:val="en-GB" w:eastAsia="ro-MD"/>
        </w:rPr>
      </w:pPr>
      <w:r w:rsidRPr="00494037">
        <w:rPr>
          <w:rFonts w:ascii="PermianSerifTypeface" w:eastAsia="Times New Roman" w:hAnsi="PermianSerifTypeface" w:cs="Times New Roman"/>
          <w:sz w:val="24"/>
          <w:szCs w:val="24"/>
          <w:lang w:val="en-GB" w:eastAsia="ro-MD"/>
        </w:rPr>
        <w:t xml:space="preserve">information on civil, administrative, or any other judicial or extrajudicial proceedings in which the Single Central Depository is </w:t>
      </w:r>
      <w:proofErr w:type="gramStart"/>
      <w:r w:rsidRPr="00494037">
        <w:rPr>
          <w:rFonts w:ascii="PermianSerifTypeface" w:eastAsia="Times New Roman" w:hAnsi="PermianSerifTypeface" w:cs="Times New Roman"/>
          <w:sz w:val="24"/>
          <w:szCs w:val="24"/>
          <w:lang w:val="en-GB" w:eastAsia="ro-MD"/>
        </w:rPr>
        <w:t>involved</w:t>
      </w:r>
      <w:r w:rsidR="003C646F" w:rsidRPr="00C57F89">
        <w:rPr>
          <w:rFonts w:ascii="PermianSerifTypeface" w:eastAsia="Times New Roman" w:hAnsi="PermianSerifTypeface" w:cs="Times New Roman"/>
          <w:color w:val="000000" w:themeColor="text1"/>
          <w:sz w:val="24"/>
          <w:szCs w:val="24"/>
          <w:lang w:val="en-GB" w:eastAsia="ro-MD"/>
        </w:rPr>
        <w:t>;</w:t>
      </w:r>
      <w:proofErr w:type="gramEnd"/>
    </w:p>
    <w:p w14:paraId="7870F8BB" w14:textId="37F297DF" w:rsidR="00EE7D9B" w:rsidRPr="00C57F89" w:rsidRDefault="00494037"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val="en-GB" w:eastAsia="ro-MD"/>
        </w:rPr>
      </w:pPr>
      <w:r w:rsidRPr="00494037">
        <w:rPr>
          <w:rFonts w:ascii="PermianSerifTypeface" w:eastAsia="Times New Roman" w:hAnsi="PermianSerifTypeface" w:cs="Times New Roman"/>
          <w:color w:val="000000" w:themeColor="text1"/>
          <w:sz w:val="24"/>
          <w:szCs w:val="24"/>
          <w:lang w:val="en-GB" w:eastAsia="ro-MD"/>
        </w:rPr>
        <w:t xml:space="preserve">audited financial statements of the Single Central </w:t>
      </w:r>
      <w:proofErr w:type="gramStart"/>
      <w:r w:rsidRPr="00494037">
        <w:rPr>
          <w:rFonts w:ascii="PermianSerifTypeface" w:eastAsia="Times New Roman" w:hAnsi="PermianSerifTypeface" w:cs="Times New Roman"/>
          <w:color w:val="000000" w:themeColor="text1"/>
          <w:sz w:val="24"/>
          <w:szCs w:val="24"/>
          <w:lang w:val="en-GB" w:eastAsia="ro-MD"/>
        </w:rPr>
        <w:t>Depository</w:t>
      </w:r>
      <w:r w:rsidR="00C259CA" w:rsidRPr="00C57F89">
        <w:rPr>
          <w:rFonts w:ascii="PermianSerifTypeface" w:eastAsia="Times New Roman" w:hAnsi="PermianSerifTypeface" w:cs="Times New Roman"/>
          <w:color w:val="000000" w:themeColor="text1"/>
          <w:sz w:val="24"/>
          <w:szCs w:val="24"/>
          <w:lang w:val="en-GB" w:eastAsia="ro-MD"/>
        </w:rPr>
        <w:t>;</w:t>
      </w:r>
      <w:proofErr w:type="gramEnd"/>
    </w:p>
    <w:p w14:paraId="4CED57B5" w14:textId="62514227" w:rsidR="00EE7D9B" w:rsidRPr="00C57F89" w:rsidRDefault="00494037"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val="en-GB" w:eastAsia="ro-MD"/>
        </w:rPr>
      </w:pPr>
      <w:r w:rsidRPr="00494037">
        <w:rPr>
          <w:rFonts w:ascii="PermianSerifTypeface" w:hAnsi="PermianSerifTypeface" w:cs="Times New Roman"/>
          <w:sz w:val="24"/>
          <w:szCs w:val="24"/>
          <w:lang w:val="en-GB"/>
        </w:rPr>
        <w:t xml:space="preserve">the scenarios and results of business continuity stress tests or similar exercises </w:t>
      </w:r>
      <w:proofErr w:type="gramStart"/>
      <w:r w:rsidRPr="00494037">
        <w:rPr>
          <w:rFonts w:ascii="PermianSerifTypeface" w:hAnsi="PermianSerifTypeface" w:cs="Times New Roman"/>
          <w:sz w:val="24"/>
          <w:szCs w:val="24"/>
          <w:lang w:val="en-GB"/>
        </w:rPr>
        <w:t>performed</w:t>
      </w:r>
      <w:r w:rsidR="00E603D0" w:rsidRPr="00C57F89">
        <w:rPr>
          <w:rFonts w:ascii="PermianSerifTypeface" w:hAnsi="PermianSerifTypeface" w:cs="Times New Roman"/>
          <w:sz w:val="24"/>
          <w:szCs w:val="24"/>
          <w:lang w:val="en-GB"/>
        </w:rPr>
        <w:t>;</w:t>
      </w:r>
      <w:proofErr w:type="gramEnd"/>
    </w:p>
    <w:p w14:paraId="2EF6C517" w14:textId="1795DF2B" w:rsidR="00EE7D9B" w:rsidRPr="00C57F89" w:rsidRDefault="00494037"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val="en-GB" w:eastAsia="ro-MD"/>
        </w:rPr>
      </w:pPr>
      <w:r w:rsidRPr="00494037">
        <w:rPr>
          <w:rFonts w:ascii="PermianSerifTypeface" w:hAnsi="PermianSerifTypeface" w:cs="Times New Roman"/>
          <w:sz w:val="24"/>
          <w:szCs w:val="24"/>
          <w:lang w:val="en-GB"/>
        </w:rPr>
        <w:t xml:space="preserve">report on any operational changes affecting the activities or connections of the Single Central </w:t>
      </w:r>
      <w:proofErr w:type="gramStart"/>
      <w:r w:rsidRPr="00494037">
        <w:rPr>
          <w:rFonts w:ascii="PermianSerifTypeface" w:hAnsi="PermianSerifTypeface" w:cs="Times New Roman"/>
          <w:sz w:val="24"/>
          <w:szCs w:val="24"/>
          <w:lang w:val="en-GB"/>
        </w:rPr>
        <w:t>Depository</w:t>
      </w:r>
      <w:r w:rsidR="00E603D0" w:rsidRPr="00C57F89">
        <w:rPr>
          <w:rFonts w:ascii="PermianSerifTypeface" w:hAnsi="PermianSerifTypeface" w:cs="Times New Roman"/>
          <w:sz w:val="24"/>
          <w:szCs w:val="24"/>
          <w:lang w:val="en-GB"/>
        </w:rPr>
        <w:t>;</w:t>
      </w:r>
      <w:proofErr w:type="gramEnd"/>
      <w:r w:rsidR="00E603D0" w:rsidRPr="00C57F89">
        <w:rPr>
          <w:rFonts w:ascii="PermianSerifTypeface" w:hAnsi="PermianSerifTypeface" w:cs="Times New Roman"/>
          <w:sz w:val="24"/>
          <w:szCs w:val="24"/>
          <w:lang w:val="en-GB"/>
        </w:rPr>
        <w:t xml:space="preserve"> </w:t>
      </w:r>
    </w:p>
    <w:p w14:paraId="718A3C5B" w14:textId="2F5AE64E" w:rsidR="00EE7D9B" w:rsidRPr="00C57F89" w:rsidRDefault="00494037"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val="en-GB" w:eastAsia="ro-MD"/>
        </w:rPr>
      </w:pPr>
      <w:r w:rsidRPr="00494037">
        <w:rPr>
          <w:rFonts w:ascii="PermianSerifTypeface" w:eastAsia="Times New Roman" w:hAnsi="PermianSerifTypeface" w:cs="Times New Roman"/>
          <w:color w:val="000000" w:themeColor="text1"/>
          <w:sz w:val="24"/>
          <w:szCs w:val="24"/>
          <w:lang w:val="en-GB" w:eastAsia="ro-MD"/>
        </w:rPr>
        <w:t xml:space="preserve">the general business strategy of the Single Central Depository for a period of at least three years from the last review, evaluation, and approval by the Single Central Depository and a detailed business plan for the services provided by the Single Central Depository for a period of at least one year after the last review and evaluation by the Single Central </w:t>
      </w:r>
      <w:proofErr w:type="gramStart"/>
      <w:r w:rsidRPr="00494037">
        <w:rPr>
          <w:rFonts w:ascii="PermianSerifTypeface" w:eastAsia="Times New Roman" w:hAnsi="PermianSerifTypeface" w:cs="Times New Roman"/>
          <w:color w:val="000000" w:themeColor="text1"/>
          <w:sz w:val="24"/>
          <w:szCs w:val="24"/>
          <w:lang w:val="en-GB" w:eastAsia="ro-MD"/>
        </w:rPr>
        <w:t>Depository</w:t>
      </w:r>
      <w:r w:rsidR="00AB6A22" w:rsidRPr="00C57F89">
        <w:rPr>
          <w:rFonts w:ascii="PermianSerifTypeface" w:eastAsia="Times New Roman" w:hAnsi="PermianSerifTypeface" w:cs="Times New Roman"/>
          <w:color w:val="000000" w:themeColor="text1"/>
          <w:sz w:val="24"/>
          <w:szCs w:val="24"/>
          <w:lang w:val="en-GB" w:eastAsia="ro-MD"/>
        </w:rPr>
        <w:t>;</w:t>
      </w:r>
      <w:proofErr w:type="gramEnd"/>
    </w:p>
    <w:p w14:paraId="436D76B0" w14:textId="3EEF2BC5" w:rsidR="00A2212D" w:rsidRPr="00C57F89" w:rsidRDefault="00494037" w:rsidP="00B44F58">
      <w:pPr>
        <w:pStyle w:val="ListParagraph"/>
        <w:numPr>
          <w:ilvl w:val="2"/>
          <w:numId w:val="11"/>
        </w:numPr>
        <w:tabs>
          <w:tab w:val="left" w:pos="993"/>
          <w:tab w:val="left" w:pos="1134"/>
        </w:tabs>
        <w:spacing w:after="0" w:line="276" w:lineRule="auto"/>
        <w:ind w:left="0" w:firstLine="567"/>
        <w:jc w:val="both"/>
        <w:rPr>
          <w:rFonts w:ascii="PermianSerifTypeface" w:eastAsia="Times New Roman" w:hAnsi="PermianSerifTypeface" w:cs="Times New Roman"/>
          <w:color w:val="000000" w:themeColor="text1"/>
          <w:sz w:val="24"/>
          <w:szCs w:val="24"/>
          <w:lang w:val="en-GB" w:eastAsia="ro-MD"/>
        </w:rPr>
      </w:pPr>
      <w:r w:rsidRPr="00494037">
        <w:rPr>
          <w:rFonts w:ascii="PermianSerifTypeface" w:eastAsia="Times New Roman" w:hAnsi="PermianSerifTypeface" w:cs="Times New Roman"/>
          <w:color w:val="000000" w:themeColor="text1"/>
          <w:sz w:val="24"/>
          <w:szCs w:val="24"/>
          <w:lang w:val="en-GB" w:eastAsia="ro-MD"/>
        </w:rPr>
        <w:t xml:space="preserve">information on agreements (contracts) concluded by the Single Central Depository, strategies, processes, and information systems implemented by </w:t>
      </w:r>
      <w:proofErr w:type="gramStart"/>
      <w:r w:rsidRPr="00494037">
        <w:rPr>
          <w:rFonts w:ascii="PermianSerifTypeface" w:eastAsia="Times New Roman" w:hAnsi="PermianSerifTypeface" w:cs="Times New Roman"/>
          <w:color w:val="000000" w:themeColor="text1"/>
          <w:sz w:val="24"/>
          <w:szCs w:val="24"/>
          <w:lang w:val="en-GB" w:eastAsia="ro-MD"/>
        </w:rPr>
        <w:t>it</w:t>
      </w:r>
      <w:r w:rsidR="00A2212D" w:rsidRPr="00C57F89">
        <w:rPr>
          <w:rFonts w:ascii="PermianSerifTypeface" w:eastAsia="Times New Roman" w:hAnsi="PermianSerifTypeface" w:cs="Times New Roman"/>
          <w:color w:val="000000" w:themeColor="text1"/>
          <w:sz w:val="24"/>
          <w:szCs w:val="24"/>
          <w:lang w:val="en-GB" w:eastAsia="ro-MD"/>
        </w:rPr>
        <w:t>;</w:t>
      </w:r>
      <w:proofErr w:type="gramEnd"/>
    </w:p>
    <w:p w14:paraId="3EEC1CD4" w14:textId="150CC86A" w:rsidR="00DF104D" w:rsidRPr="00C57F89" w:rsidRDefault="00CF48D0" w:rsidP="00B44F58">
      <w:pPr>
        <w:tabs>
          <w:tab w:val="left" w:pos="993"/>
        </w:tabs>
        <w:spacing w:after="0" w:line="276" w:lineRule="auto"/>
        <w:ind w:firstLine="567"/>
        <w:jc w:val="both"/>
        <w:rPr>
          <w:rFonts w:ascii="PermianSerifTypeface" w:eastAsia="Times New Roman" w:hAnsi="PermianSerifTypeface" w:cs="Times New Roman"/>
          <w:color w:val="000000" w:themeColor="text1"/>
          <w:sz w:val="24"/>
          <w:szCs w:val="24"/>
          <w:lang w:val="en-GB" w:eastAsia="ro-MD"/>
        </w:rPr>
      </w:pPr>
      <w:r w:rsidRPr="00C57F89">
        <w:rPr>
          <w:rFonts w:ascii="PermianSerifTypeface" w:hAnsi="PermianSerifTypeface" w:cs="Times New Roman"/>
          <w:b/>
          <w:bCs/>
          <w:sz w:val="24"/>
          <w:szCs w:val="24"/>
          <w:lang w:val="en-GB"/>
        </w:rPr>
        <w:t>8</w:t>
      </w:r>
      <w:r w:rsidR="00A2212D" w:rsidRPr="00C57F89">
        <w:rPr>
          <w:rFonts w:ascii="PermianSerifTypeface" w:hAnsi="PermianSerifTypeface" w:cs="Times New Roman"/>
          <w:b/>
          <w:bCs/>
          <w:sz w:val="24"/>
          <w:szCs w:val="24"/>
          <w:lang w:val="en-GB"/>
        </w:rPr>
        <w:t xml:space="preserve">.3. </w:t>
      </w:r>
      <w:r w:rsidR="00581CBF" w:rsidRPr="00581CBF">
        <w:rPr>
          <w:rFonts w:ascii="PermianSerifTypeface" w:eastAsia="Times New Roman" w:hAnsi="PermianSerifTypeface" w:cs="Times New Roman"/>
          <w:color w:val="000000" w:themeColor="text1"/>
          <w:sz w:val="24"/>
          <w:szCs w:val="24"/>
          <w:lang w:val="en-GB" w:eastAsia="ro-MD"/>
        </w:rPr>
        <w:t>the report on operational incidents that have affected the proper provision of any core services, the measures taken to resolve them, as well as their results, shall be submitted to the NBM in accordance with the requirements set out in point 209.1 of Regulation No 289/2024 on the monitoring of financial market infrastructures, schemes, arrangements, and payment instruments</w:t>
      </w:r>
      <w:r w:rsidR="00FC656B" w:rsidRPr="00581CBF">
        <w:rPr>
          <w:rFonts w:ascii="PermianSerifTypeface" w:eastAsia="Times New Roman" w:hAnsi="PermianSerifTypeface" w:cs="Times New Roman"/>
          <w:color w:val="000000" w:themeColor="text1"/>
          <w:sz w:val="24"/>
          <w:szCs w:val="24"/>
          <w:lang w:val="en-GB" w:eastAsia="ro-MD"/>
        </w:rPr>
        <w:t>.</w:t>
      </w:r>
    </w:p>
    <w:p w14:paraId="5BDA440E" w14:textId="75C36853" w:rsidR="003D600B" w:rsidRPr="00C57F89" w:rsidRDefault="00581CBF" w:rsidP="00D777E4">
      <w:pPr>
        <w:tabs>
          <w:tab w:val="left" w:pos="1134"/>
        </w:tabs>
        <w:spacing w:after="0" w:line="276" w:lineRule="auto"/>
        <w:jc w:val="center"/>
        <w:rPr>
          <w:rFonts w:ascii="PermianSerifTypeface" w:hAnsi="PermianSerifTypeface" w:cs="Times New Roman"/>
          <w:b/>
          <w:sz w:val="24"/>
          <w:szCs w:val="24"/>
          <w:lang w:val="en-GB"/>
        </w:rPr>
      </w:pPr>
      <w:r>
        <w:rPr>
          <w:rFonts w:ascii="PermianSerifTypeface" w:hAnsi="PermianSerifTypeface" w:cs="Times New Roman"/>
          <w:b/>
          <w:sz w:val="24"/>
          <w:szCs w:val="24"/>
          <w:lang w:val="en-GB"/>
        </w:rPr>
        <w:t>Section</w:t>
      </w:r>
      <w:r w:rsidR="00C434F1" w:rsidRPr="00C57F89">
        <w:rPr>
          <w:rFonts w:ascii="PermianSerifTypeface" w:hAnsi="PermianSerifTypeface" w:cs="Times New Roman"/>
          <w:b/>
          <w:sz w:val="24"/>
          <w:szCs w:val="24"/>
          <w:lang w:val="en-GB"/>
        </w:rPr>
        <w:t xml:space="preserve"> </w:t>
      </w:r>
      <w:r w:rsidR="0021039E" w:rsidRPr="00C57F89">
        <w:rPr>
          <w:rFonts w:ascii="PermianSerifTypeface" w:hAnsi="PermianSerifTypeface" w:cs="Times New Roman"/>
          <w:b/>
          <w:sz w:val="24"/>
          <w:szCs w:val="24"/>
          <w:lang w:val="en-GB"/>
        </w:rPr>
        <w:t>3</w:t>
      </w:r>
    </w:p>
    <w:p w14:paraId="748A017F" w14:textId="4239605C" w:rsidR="00A635DC" w:rsidRPr="00C57F89" w:rsidRDefault="00762244" w:rsidP="00D777E4">
      <w:pPr>
        <w:tabs>
          <w:tab w:val="left" w:pos="1134"/>
        </w:tabs>
        <w:spacing w:after="0" w:line="276" w:lineRule="auto"/>
        <w:jc w:val="center"/>
        <w:rPr>
          <w:rFonts w:ascii="PermianSerifTypeface" w:hAnsi="PermianSerifTypeface" w:cs="Times New Roman"/>
          <w:b/>
          <w:sz w:val="24"/>
          <w:szCs w:val="24"/>
          <w:lang w:val="en-GB"/>
        </w:rPr>
      </w:pPr>
      <w:r w:rsidRPr="00762244">
        <w:rPr>
          <w:rFonts w:ascii="PermianSerifTypeface" w:hAnsi="PermianSerifTypeface" w:cs="Times New Roman"/>
          <w:b/>
          <w:sz w:val="24"/>
          <w:szCs w:val="24"/>
        </w:rPr>
        <w:t xml:space="preserve">CONDUCTING THE </w:t>
      </w:r>
      <w:r w:rsidR="001A3153">
        <w:rPr>
          <w:rFonts w:ascii="PermianSerifTypeface" w:hAnsi="PermianSerifTypeface" w:cs="Times New Roman"/>
          <w:b/>
          <w:sz w:val="24"/>
          <w:szCs w:val="24"/>
        </w:rPr>
        <w:t>CONTROL</w:t>
      </w:r>
    </w:p>
    <w:p w14:paraId="28D7A528" w14:textId="681074A9" w:rsidR="00554FE7" w:rsidRPr="00C57F89" w:rsidRDefault="00554FE7" w:rsidP="00554FE7">
      <w:pPr>
        <w:tabs>
          <w:tab w:val="left" w:pos="993"/>
        </w:tabs>
        <w:spacing w:after="0" w:line="276" w:lineRule="auto"/>
        <w:ind w:firstLine="567"/>
        <w:jc w:val="both"/>
        <w:rPr>
          <w:rFonts w:ascii="PermianSerifTypeface" w:hAnsi="PermianSerifTypeface" w:cs="Times New Roman"/>
          <w:sz w:val="24"/>
          <w:szCs w:val="24"/>
          <w:lang w:val="en-GB"/>
        </w:rPr>
      </w:pPr>
      <w:r w:rsidRPr="00C57F89">
        <w:rPr>
          <w:rFonts w:ascii="PermianSerifTypeface" w:hAnsi="PermianSerifTypeface" w:cs="Times New Roman"/>
          <w:b/>
          <w:bCs/>
          <w:sz w:val="24"/>
          <w:szCs w:val="24"/>
          <w:lang w:val="en-GB"/>
        </w:rPr>
        <w:t>9.</w:t>
      </w:r>
      <w:r w:rsidRPr="00C57F89">
        <w:rPr>
          <w:rFonts w:ascii="PermianSerifTypeface" w:hAnsi="PermianSerifTypeface" w:cs="Times New Roman"/>
          <w:sz w:val="24"/>
          <w:szCs w:val="24"/>
          <w:lang w:val="en-GB"/>
        </w:rPr>
        <w:t xml:space="preserve"> </w:t>
      </w:r>
      <w:r w:rsidR="00762244" w:rsidRPr="00762244">
        <w:rPr>
          <w:rFonts w:ascii="PermianSerifTypeface" w:eastAsia="Times New Roman" w:hAnsi="PermianSerifTypeface" w:cs="Times New Roman"/>
          <w:color w:val="000000" w:themeColor="text1"/>
          <w:sz w:val="24"/>
          <w:szCs w:val="24"/>
          <w:lang w:val="en-GB" w:eastAsia="ro-MD"/>
        </w:rPr>
        <w:t>In exercising its control duties over the Single Central Depository in accordance with the provisions of Article 23, paragraph (2) of Law No</w:t>
      </w:r>
      <w:r w:rsidR="00762244">
        <w:rPr>
          <w:rFonts w:ascii="PermianSerifTypeface" w:eastAsia="Times New Roman" w:hAnsi="PermianSerifTypeface" w:cs="Times New Roman"/>
          <w:color w:val="000000" w:themeColor="text1"/>
          <w:sz w:val="24"/>
          <w:szCs w:val="24"/>
          <w:lang w:val="en-GB" w:eastAsia="ro-MD"/>
        </w:rPr>
        <w:t xml:space="preserve"> </w:t>
      </w:r>
      <w:r w:rsidR="00762244" w:rsidRPr="00762244">
        <w:rPr>
          <w:rFonts w:ascii="PermianSerifTypeface" w:eastAsia="Times New Roman" w:hAnsi="PermianSerifTypeface" w:cs="Times New Roman"/>
          <w:color w:val="000000" w:themeColor="text1"/>
          <w:sz w:val="24"/>
          <w:szCs w:val="24"/>
          <w:lang w:val="en-GB" w:eastAsia="ro-MD"/>
        </w:rPr>
        <w:t xml:space="preserve">234/2016, the NBM may carry out </w:t>
      </w:r>
      <w:r w:rsidR="00CE5D35">
        <w:rPr>
          <w:rFonts w:ascii="PermianSerifTypeface" w:eastAsia="Times New Roman" w:hAnsi="PermianSerifTypeface" w:cs="Times New Roman"/>
          <w:color w:val="000000" w:themeColor="text1"/>
          <w:sz w:val="24"/>
          <w:szCs w:val="24"/>
          <w:lang w:val="en-GB" w:eastAsia="ro-MD"/>
        </w:rPr>
        <w:t>controls</w:t>
      </w:r>
      <w:r w:rsidRPr="00762244">
        <w:rPr>
          <w:rFonts w:ascii="PermianSerifTypeface" w:eastAsia="Times New Roman" w:hAnsi="PermianSerifTypeface" w:cs="Times New Roman"/>
          <w:color w:val="000000" w:themeColor="text1"/>
          <w:sz w:val="24"/>
          <w:szCs w:val="24"/>
          <w:lang w:val="en-GB" w:eastAsia="ro-MD"/>
        </w:rPr>
        <w:t>:</w:t>
      </w:r>
    </w:p>
    <w:p w14:paraId="73E7B609" w14:textId="124021EA" w:rsidR="00554FE7" w:rsidRPr="00762244" w:rsidRDefault="00762244"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762244">
        <w:rPr>
          <w:rFonts w:ascii="PermianSerifTypeface" w:hAnsi="PermianSerifTypeface" w:cs="Times New Roman"/>
          <w:sz w:val="24"/>
          <w:szCs w:val="24"/>
          <w:lang w:val="en-GB"/>
        </w:rPr>
        <w:t xml:space="preserve">depending on the </w:t>
      </w:r>
      <w:r w:rsidR="00CE5D35">
        <w:rPr>
          <w:rFonts w:ascii="PermianSerifTypeface" w:hAnsi="PermianSerifTypeface" w:cs="Times New Roman"/>
          <w:sz w:val="24"/>
          <w:szCs w:val="24"/>
          <w:lang w:val="en-GB"/>
        </w:rPr>
        <w:t>aim</w:t>
      </w:r>
      <w:r w:rsidRPr="00762244">
        <w:rPr>
          <w:rFonts w:ascii="PermianSerifTypeface" w:hAnsi="PermianSerifTypeface" w:cs="Times New Roman"/>
          <w:sz w:val="24"/>
          <w:szCs w:val="24"/>
          <w:lang w:val="en-GB"/>
        </w:rPr>
        <w:t xml:space="preserve"> of the </w:t>
      </w:r>
      <w:r w:rsidR="00CE5D35">
        <w:rPr>
          <w:rFonts w:ascii="PermianSerifTypeface" w:hAnsi="PermianSerifTypeface" w:cs="Times New Roman"/>
          <w:sz w:val="24"/>
          <w:szCs w:val="24"/>
          <w:lang w:val="en-GB"/>
        </w:rPr>
        <w:t>control</w:t>
      </w:r>
      <w:r w:rsidR="00554FE7" w:rsidRPr="00762244">
        <w:rPr>
          <w:rFonts w:ascii="PermianSerifTypeface" w:hAnsi="PermianSerifTypeface" w:cs="Times New Roman"/>
          <w:sz w:val="24"/>
          <w:szCs w:val="24"/>
          <w:lang w:val="en-GB"/>
        </w:rPr>
        <w:t>:</w:t>
      </w:r>
    </w:p>
    <w:p w14:paraId="1B3F748D" w14:textId="02061630" w:rsidR="00554FE7" w:rsidRPr="00762244" w:rsidRDefault="00762244"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sz w:val="24"/>
          <w:szCs w:val="24"/>
          <w:lang w:val="en-GB"/>
        </w:rPr>
      </w:pPr>
      <w:r w:rsidRPr="00762244">
        <w:rPr>
          <w:rFonts w:ascii="PermianSerifTypeface" w:hAnsi="PermianSerifTypeface" w:cs="Times New Roman"/>
          <w:sz w:val="24"/>
          <w:szCs w:val="24"/>
          <w:lang w:val="en-GB"/>
        </w:rPr>
        <w:t xml:space="preserve">complex </w:t>
      </w:r>
      <w:r w:rsidR="00CE5D35">
        <w:rPr>
          <w:rFonts w:ascii="PermianSerifTypeface" w:hAnsi="PermianSerifTypeface" w:cs="Times New Roman"/>
          <w:sz w:val="24"/>
          <w:szCs w:val="24"/>
          <w:lang w:val="en-GB"/>
        </w:rPr>
        <w:t>control</w:t>
      </w:r>
      <w:r w:rsidRPr="00762244">
        <w:rPr>
          <w:rFonts w:ascii="PermianSerifTypeface" w:hAnsi="PermianSerifTypeface" w:cs="Times New Roman"/>
          <w:sz w:val="24"/>
          <w:szCs w:val="24"/>
          <w:lang w:val="en-GB"/>
        </w:rPr>
        <w:t xml:space="preserve"> – The Single Central Depository is subject to a full review within the limits of NBM's </w:t>
      </w:r>
      <w:proofErr w:type="gramStart"/>
      <w:r w:rsidRPr="00762244">
        <w:rPr>
          <w:rFonts w:ascii="PermianSerifTypeface" w:hAnsi="PermianSerifTypeface" w:cs="Times New Roman"/>
          <w:sz w:val="24"/>
          <w:szCs w:val="24"/>
          <w:lang w:val="en-GB"/>
        </w:rPr>
        <w:t>responsibilities</w:t>
      </w:r>
      <w:r w:rsidR="00554FE7" w:rsidRPr="00762244">
        <w:rPr>
          <w:rFonts w:ascii="PermianSerifTypeface" w:hAnsi="PermianSerifTypeface" w:cs="Times New Roman"/>
          <w:sz w:val="24"/>
          <w:szCs w:val="24"/>
          <w:lang w:val="en-GB"/>
        </w:rPr>
        <w:t>;</w:t>
      </w:r>
      <w:proofErr w:type="gramEnd"/>
    </w:p>
    <w:p w14:paraId="6C6713AC" w14:textId="49C53598" w:rsidR="00554FE7" w:rsidRPr="00762244" w:rsidRDefault="00762244" w:rsidP="00554FE7">
      <w:pPr>
        <w:pStyle w:val="ListParagraph"/>
        <w:numPr>
          <w:ilvl w:val="2"/>
          <w:numId w:val="8"/>
        </w:numPr>
        <w:tabs>
          <w:tab w:val="left" w:pos="993"/>
          <w:tab w:val="left" w:pos="1134"/>
        </w:tabs>
        <w:spacing w:after="0" w:line="276" w:lineRule="auto"/>
        <w:ind w:left="0" w:firstLine="567"/>
        <w:jc w:val="both"/>
        <w:rPr>
          <w:rFonts w:ascii="PermianSerifTypeface" w:hAnsi="PermianSerifTypeface" w:cs="Times New Roman"/>
          <w:sz w:val="24"/>
          <w:szCs w:val="24"/>
          <w:lang w:val="en-GB"/>
        </w:rPr>
      </w:pPr>
      <w:r w:rsidRPr="00762244">
        <w:rPr>
          <w:rFonts w:ascii="PermianSerifTypeface" w:hAnsi="PermianSerifTypeface" w:cs="Times New Roman"/>
          <w:sz w:val="24"/>
          <w:szCs w:val="24"/>
          <w:lang w:val="en-GB"/>
        </w:rPr>
        <w:t xml:space="preserve">thematic </w:t>
      </w:r>
      <w:r w:rsidR="00CE5D35">
        <w:rPr>
          <w:rFonts w:ascii="PermianSerifTypeface" w:hAnsi="PermianSerifTypeface" w:cs="Times New Roman"/>
          <w:sz w:val="24"/>
          <w:szCs w:val="24"/>
          <w:lang w:val="en-GB"/>
        </w:rPr>
        <w:t>control</w:t>
      </w:r>
      <w:r w:rsidRPr="00762244">
        <w:rPr>
          <w:rFonts w:ascii="PermianSerifTypeface" w:hAnsi="PermianSerifTypeface" w:cs="Times New Roman"/>
          <w:sz w:val="24"/>
          <w:szCs w:val="24"/>
          <w:lang w:val="en-GB"/>
        </w:rPr>
        <w:t xml:space="preserve"> – The Single Central Depository is subject to review in a specific area or areas of activity and/or the removal of violations for which remedial measures have been prescribed and/or sanctions applied by the NBM, following a previous </w:t>
      </w:r>
      <w:proofErr w:type="gramStart"/>
      <w:r w:rsidR="00CE5D35">
        <w:rPr>
          <w:rFonts w:ascii="PermianSerifTypeface" w:hAnsi="PermianSerifTypeface" w:cs="Times New Roman"/>
          <w:sz w:val="24"/>
          <w:szCs w:val="24"/>
          <w:lang w:val="en-GB"/>
        </w:rPr>
        <w:t>control</w:t>
      </w:r>
      <w:r w:rsidR="00554FE7" w:rsidRPr="00762244">
        <w:rPr>
          <w:rFonts w:ascii="PermianSerifTypeface" w:hAnsi="PermianSerifTypeface" w:cs="Times New Roman"/>
          <w:sz w:val="24"/>
          <w:szCs w:val="24"/>
          <w:lang w:val="en-GB"/>
        </w:rPr>
        <w:t>;</w:t>
      </w:r>
      <w:proofErr w:type="gramEnd"/>
    </w:p>
    <w:p w14:paraId="496A8E24" w14:textId="71D76FEB" w:rsidR="00554FE7" w:rsidRPr="00B94FD0" w:rsidRDefault="00762244" w:rsidP="00554FE7">
      <w:pPr>
        <w:pStyle w:val="ListParagraph"/>
        <w:numPr>
          <w:ilvl w:val="0"/>
          <w:numId w:val="3"/>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B94FD0">
        <w:rPr>
          <w:rFonts w:ascii="PermianSerifTypeface" w:hAnsi="PermianSerifTypeface" w:cs="Times New Roman"/>
          <w:sz w:val="24"/>
          <w:szCs w:val="24"/>
          <w:lang w:val="en-GB"/>
        </w:rPr>
        <w:t>depending on the manner of execution</w:t>
      </w:r>
      <w:r w:rsidR="00554FE7" w:rsidRPr="00B94FD0">
        <w:rPr>
          <w:rFonts w:ascii="PermianSerifTypeface" w:hAnsi="PermianSerifTypeface" w:cs="Times New Roman"/>
          <w:sz w:val="24"/>
          <w:szCs w:val="24"/>
          <w:lang w:val="en-GB"/>
        </w:rPr>
        <w:t>:</w:t>
      </w:r>
    </w:p>
    <w:p w14:paraId="17DBE135" w14:textId="78DB657D" w:rsidR="00554FE7" w:rsidRPr="00B94FD0" w:rsidRDefault="00CE5D35"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sz w:val="24"/>
          <w:szCs w:val="24"/>
          <w:lang w:val="en-GB"/>
        </w:rPr>
      </w:pPr>
      <w:r>
        <w:rPr>
          <w:rFonts w:ascii="PermianSerifTypeface" w:hAnsi="PermianSerifTypeface" w:cs="Times New Roman"/>
          <w:sz w:val="24"/>
          <w:szCs w:val="24"/>
          <w:lang w:val="en-GB"/>
        </w:rPr>
        <w:lastRenderedPageBreak/>
        <w:t>scheduled</w:t>
      </w:r>
      <w:r w:rsidR="00B94FD0" w:rsidRPr="00B94FD0">
        <w:rPr>
          <w:rFonts w:ascii="PermianSerifTypeface" w:hAnsi="PermianSerifTypeface" w:cs="Times New Roman"/>
          <w:sz w:val="24"/>
          <w:szCs w:val="24"/>
          <w:lang w:val="en-GB"/>
        </w:rPr>
        <w:t xml:space="preserve"> inspection – it is carried out based on a control plan approved by the </w:t>
      </w:r>
      <w:proofErr w:type="gramStart"/>
      <w:r w:rsidR="00B94FD0" w:rsidRPr="00B94FD0">
        <w:rPr>
          <w:rFonts w:ascii="PermianSerifTypeface" w:hAnsi="PermianSerifTypeface" w:cs="Times New Roman"/>
          <w:sz w:val="24"/>
          <w:szCs w:val="24"/>
          <w:lang w:val="en-GB"/>
        </w:rPr>
        <w:t>NBM</w:t>
      </w:r>
      <w:r w:rsidR="00554FE7" w:rsidRPr="00B94FD0">
        <w:rPr>
          <w:rFonts w:ascii="PermianSerifTypeface" w:hAnsi="PermianSerifTypeface" w:cs="Times New Roman"/>
          <w:sz w:val="24"/>
          <w:szCs w:val="24"/>
          <w:lang w:val="en-GB"/>
        </w:rPr>
        <w:t>;</w:t>
      </w:r>
      <w:proofErr w:type="gramEnd"/>
    </w:p>
    <w:p w14:paraId="695B77D5" w14:textId="04C38694" w:rsidR="00554FE7" w:rsidRPr="00332A63" w:rsidRDefault="00332A63" w:rsidP="00554FE7">
      <w:pPr>
        <w:pStyle w:val="ListParagraph"/>
        <w:numPr>
          <w:ilvl w:val="2"/>
          <w:numId w:val="16"/>
        </w:numPr>
        <w:tabs>
          <w:tab w:val="left" w:pos="993"/>
          <w:tab w:val="left" w:pos="1134"/>
          <w:tab w:val="left" w:pos="1560"/>
        </w:tabs>
        <w:spacing w:after="0" w:line="276" w:lineRule="auto"/>
        <w:ind w:left="0" w:firstLine="567"/>
        <w:contextualSpacing w:val="0"/>
        <w:jc w:val="both"/>
        <w:rPr>
          <w:rFonts w:ascii="PermianSerifTypeface" w:hAnsi="PermianSerifTypeface" w:cs="Times New Roman"/>
          <w:sz w:val="24"/>
          <w:szCs w:val="24"/>
          <w:lang w:val="en-GB"/>
        </w:rPr>
      </w:pPr>
      <w:r w:rsidRPr="00332A63">
        <w:rPr>
          <w:rFonts w:ascii="PermianSerifTypeface" w:hAnsi="PermianSerifTypeface" w:cs="Times New Roman"/>
          <w:sz w:val="24"/>
          <w:szCs w:val="24"/>
          <w:lang w:val="en-GB"/>
        </w:rPr>
        <w:t>unannounced inspection – it is not included in the NBM's control plan and can be initiated as a response to an event or incident that may affect the material activities of the Single Central Depository</w:t>
      </w:r>
      <w:r w:rsidR="00554FE7" w:rsidRPr="00332A63">
        <w:rPr>
          <w:rFonts w:ascii="PermianSerifTypeface" w:hAnsi="PermianSerifTypeface" w:cs="Times New Roman"/>
          <w:sz w:val="24"/>
          <w:szCs w:val="24"/>
          <w:lang w:val="en-GB"/>
        </w:rPr>
        <w:t>.</w:t>
      </w:r>
    </w:p>
    <w:p w14:paraId="75110E74" w14:textId="220D5834" w:rsidR="00554FE7" w:rsidRPr="00CC6745" w:rsidRDefault="00332A63" w:rsidP="00554FE7">
      <w:pPr>
        <w:pStyle w:val="ListParagraph"/>
        <w:numPr>
          <w:ilvl w:val="0"/>
          <w:numId w:val="16"/>
        </w:numPr>
        <w:tabs>
          <w:tab w:val="left" w:pos="993"/>
        </w:tabs>
        <w:spacing w:line="276" w:lineRule="auto"/>
        <w:ind w:left="0" w:firstLine="567"/>
        <w:jc w:val="both"/>
        <w:rPr>
          <w:rFonts w:ascii="PermianSerifTypeface" w:hAnsi="PermianSerifTypeface" w:cs="Times New Roman"/>
          <w:b/>
          <w:bCs/>
          <w:sz w:val="24"/>
          <w:szCs w:val="24"/>
          <w:lang w:val="en-GB"/>
        </w:rPr>
      </w:pPr>
      <w:r w:rsidRPr="00CC6745">
        <w:rPr>
          <w:rFonts w:ascii="PermianSerifTypeface" w:hAnsi="PermianSerifTypeface" w:cs="Times New Roman"/>
          <w:sz w:val="24"/>
          <w:szCs w:val="24"/>
          <w:lang w:val="en-GB"/>
        </w:rPr>
        <w:t xml:space="preserve">The NBM's control plan for the Single Central Depository is developed </w:t>
      </w:r>
      <w:proofErr w:type="gramStart"/>
      <w:r w:rsidRPr="00CC6745">
        <w:rPr>
          <w:rFonts w:ascii="PermianSerifTypeface" w:hAnsi="PermianSerifTypeface" w:cs="Times New Roman"/>
          <w:sz w:val="24"/>
          <w:szCs w:val="24"/>
          <w:lang w:val="en-GB"/>
        </w:rPr>
        <w:t>taking into account</w:t>
      </w:r>
      <w:proofErr w:type="gramEnd"/>
      <w:r w:rsidRPr="00CC6745">
        <w:rPr>
          <w:rFonts w:ascii="PermianSerifTypeface" w:hAnsi="PermianSerifTypeface" w:cs="Times New Roman"/>
          <w:sz w:val="24"/>
          <w:szCs w:val="24"/>
          <w:lang w:val="en-GB"/>
        </w:rPr>
        <w:t xml:space="preserve"> the violations detected during previous inspections, the measures taken by the Depository to </w:t>
      </w:r>
      <w:r w:rsidR="00CC6745" w:rsidRPr="00CC6745">
        <w:rPr>
          <w:rFonts w:ascii="PermianSerifTypeface" w:hAnsi="PermianSerifTypeface" w:cs="Times New Roman"/>
          <w:sz w:val="24"/>
          <w:szCs w:val="24"/>
          <w:lang w:val="en-GB"/>
        </w:rPr>
        <w:t>cease and/or liquidate</w:t>
      </w:r>
      <w:r w:rsidR="00CC6745">
        <w:rPr>
          <w:rFonts w:ascii="PermianSerifTypeface" w:hAnsi="PermianSerifTypeface" w:cs="Times New Roman"/>
          <w:sz w:val="24"/>
          <w:szCs w:val="24"/>
          <w:lang w:val="en-GB"/>
        </w:rPr>
        <w:t xml:space="preserve"> </w:t>
      </w:r>
      <w:r w:rsidRPr="00CC6745">
        <w:rPr>
          <w:rFonts w:ascii="PermianSerifTypeface" w:hAnsi="PermianSerifTypeface" w:cs="Times New Roman"/>
          <w:sz w:val="24"/>
          <w:szCs w:val="24"/>
          <w:lang w:val="en-GB"/>
        </w:rPr>
        <w:t>previously identified violations, the risks to which it is or may be exposed, and the complaints received by the NBM</w:t>
      </w:r>
      <w:r w:rsidR="00554FE7" w:rsidRPr="00CC6745">
        <w:rPr>
          <w:rFonts w:ascii="PermianSerifTypeface" w:hAnsi="PermianSerifTypeface" w:cs="Times New Roman"/>
          <w:sz w:val="24"/>
          <w:szCs w:val="24"/>
          <w:lang w:val="en-GB"/>
        </w:rPr>
        <w:t>.</w:t>
      </w:r>
      <w:r w:rsidR="00554FE7" w:rsidRPr="00CC6745" w:rsidDel="00001560">
        <w:rPr>
          <w:rFonts w:ascii="PermianSerifTypeface" w:hAnsi="PermianSerifTypeface" w:cs="Times New Roman"/>
          <w:b/>
          <w:bCs/>
          <w:sz w:val="24"/>
          <w:szCs w:val="24"/>
          <w:lang w:val="en-GB"/>
        </w:rPr>
        <w:t xml:space="preserve"> </w:t>
      </w:r>
    </w:p>
    <w:p w14:paraId="6DBF335B" w14:textId="249A3429" w:rsidR="00554FE7" w:rsidRPr="00C57F89" w:rsidRDefault="00CC6745" w:rsidP="003E281D">
      <w:pPr>
        <w:pStyle w:val="ListParagraph"/>
        <w:numPr>
          <w:ilvl w:val="0"/>
          <w:numId w:val="16"/>
        </w:numPr>
        <w:tabs>
          <w:tab w:val="left" w:pos="993"/>
        </w:tabs>
        <w:spacing w:line="276" w:lineRule="auto"/>
        <w:ind w:left="0" w:firstLine="567"/>
        <w:jc w:val="both"/>
        <w:rPr>
          <w:rFonts w:ascii="PermianSerifTypeface" w:hAnsi="PermianSerifTypeface" w:cs="Times New Roman"/>
          <w:b/>
          <w:bCs/>
          <w:sz w:val="24"/>
          <w:szCs w:val="24"/>
          <w:lang w:val="en-GB"/>
        </w:rPr>
      </w:pPr>
      <w:r w:rsidRPr="00CC6745">
        <w:rPr>
          <w:rFonts w:ascii="PermianSerifTypeface" w:hAnsi="PermianSerifTypeface" w:cs="Times New Roman"/>
          <w:sz w:val="24"/>
          <w:szCs w:val="24"/>
          <w:lang w:val="en-GB"/>
        </w:rPr>
        <w:t xml:space="preserve">The Single Central Depository shall be subject to </w:t>
      </w:r>
      <w:r w:rsidR="0092162B">
        <w:rPr>
          <w:rFonts w:ascii="PermianSerifTypeface" w:hAnsi="PermianSerifTypeface" w:cs="Times New Roman"/>
          <w:sz w:val="24"/>
          <w:szCs w:val="24"/>
          <w:lang w:val="en-GB"/>
        </w:rPr>
        <w:t>control</w:t>
      </w:r>
      <w:r w:rsidRPr="00CC6745">
        <w:rPr>
          <w:rFonts w:ascii="PermianSerifTypeface" w:hAnsi="PermianSerifTypeface" w:cs="Times New Roman"/>
          <w:sz w:val="24"/>
          <w:szCs w:val="24"/>
          <w:lang w:val="en-GB"/>
        </w:rPr>
        <w:t xml:space="preserve"> at least once every three years</w:t>
      </w:r>
      <w:r w:rsidR="00554FE7" w:rsidRPr="00C57F89">
        <w:rPr>
          <w:rFonts w:ascii="PermianSerifTypeface" w:hAnsi="PermianSerifTypeface" w:cs="Times New Roman"/>
          <w:sz w:val="24"/>
          <w:szCs w:val="24"/>
          <w:lang w:val="en-GB"/>
        </w:rPr>
        <w:t>.</w:t>
      </w:r>
    </w:p>
    <w:p w14:paraId="6D6866D6" w14:textId="6DD95E4C" w:rsidR="00A635DC" w:rsidRPr="00CC6745" w:rsidRDefault="00CC6745" w:rsidP="00D777E4">
      <w:pPr>
        <w:pStyle w:val="ListParagraph"/>
        <w:numPr>
          <w:ilvl w:val="0"/>
          <w:numId w:val="16"/>
        </w:numPr>
        <w:tabs>
          <w:tab w:val="left" w:pos="993"/>
        </w:tabs>
        <w:spacing w:after="120" w:line="276" w:lineRule="auto"/>
        <w:ind w:left="0" w:firstLine="567"/>
        <w:jc w:val="both"/>
        <w:rPr>
          <w:rFonts w:ascii="PermianSerifTypeface" w:hAnsi="PermianSerifTypeface" w:cs="Times New Roman"/>
          <w:sz w:val="24"/>
          <w:szCs w:val="24"/>
          <w:lang w:val="en-GB"/>
        </w:rPr>
      </w:pPr>
      <w:r w:rsidRPr="00CC6745">
        <w:rPr>
          <w:rFonts w:ascii="PermianSerifTypeface" w:hAnsi="PermianSerifTypeface" w:cs="Times New Roman"/>
          <w:sz w:val="24"/>
          <w:szCs w:val="24"/>
          <w:lang w:val="en-GB"/>
        </w:rPr>
        <w:t xml:space="preserve">For conducting the </w:t>
      </w:r>
      <w:r w:rsidR="0092162B">
        <w:rPr>
          <w:rFonts w:ascii="PermianSerifTypeface" w:hAnsi="PermianSerifTypeface" w:cs="Times New Roman"/>
          <w:sz w:val="24"/>
          <w:szCs w:val="24"/>
          <w:lang w:val="en-GB"/>
        </w:rPr>
        <w:t>control</w:t>
      </w:r>
      <w:r w:rsidRPr="00CC6745">
        <w:rPr>
          <w:rFonts w:ascii="PermianSerifTypeface" w:hAnsi="PermianSerifTypeface" w:cs="Times New Roman"/>
          <w:sz w:val="24"/>
          <w:szCs w:val="24"/>
          <w:lang w:val="en-GB"/>
        </w:rPr>
        <w:t xml:space="preserve">, the NBM </w:t>
      </w:r>
      <w:r>
        <w:rPr>
          <w:rFonts w:ascii="PermianSerifTypeface" w:hAnsi="PermianSerifTypeface" w:cs="Times New Roman"/>
          <w:sz w:val="24"/>
          <w:szCs w:val="24"/>
          <w:lang w:val="en-GB"/>
        </w:rPr>
        <w:t xml:space="preserve">shall </w:t>
      </w:r>
      <w:r w:rsidRPr="00CC6745">
        <w:rPr>
          <w:rFonts w:ascii="PermianSerifTypeface" w:hAnsi="PermianSerifTypeface" w:cs="Times New Roman"/>
          <w:sz w:val="24"/>
          <w:szCs w:val="24"/>
          <w:lang w:val="en-GB"/>
        </w:rPr>
        <w:t xml:space="preserve">issue a decision </w:t>
      </w:r>
      <w:r>
        <w:rPr>
          <w:rFonts w:ascii="PermianSerifTypeface" w:hAnsi="PermianSerifTypeface" w:cs="Times New Roman"/>
          <w:sz w:val="24"/>
          <w:szCs w:val="24"/>
          <w:lang w:val="en-GB"/>
        </w:rPr>
        <w:t>on</w:t>
      </w:r>
      <w:r w:rsidRPr="00CC6745">
        <w:rPr>
          <w:rFonts w:ascii="PermianSerifTypeface" w:hAnsi="PermianSerifTypeface" w:cs="Times New Roman"/>
          <w:sz w:val="24"/>
          <w:szCs w:val="24"/>
          <w:lang w:val="en-GB"/>
        </w:rPr>
        <w:t xml:space="preserve"> the </w:t>
      </w:r>
      <w:r w:rsidR="0092162B">
        <w:rPr>
          <w:rFonts w:ascii="PermianSerifTypeface" w:hAnsi="PermianSerifTypeface" w:cs="Times New Roman"/>
          <w:sz w:val="24"/>
          <w:szCs w:val="24"/>
          <w:lang w:val="en-GB"/>
        </w:rPr>
        <w:t>control</w:t>
      </w:r>
      <w:r w:rsidRPr="00CC6745">
        <w:rPr>
          <w:rFonts w:ascii="PermianSerifTypeface" w:hAnsi="PermianSerifTypeface" w:cs="Times New Roman"/>
          <w:sz w:val="24"/>
          <w:szCs w:val="24"/>
          <w:lang w:val="en-GB"/>
        </w:rPr>
        <w:t xml:space="preserve">, in accordance with the provisions of Article 751, paragraph (3) of Law No 548/1995. The decision to carry out the </w:t>
      </w:r>
      <w:r w:rsidR="0092162B">
        <w:rPr>
          <w:rFonts w:ascii="PermianSerifTypeface" w:hAnsi="PermianSerifTypeface" w:cs="Times New Roman"/>
          <w:sz w:val="24"/>
          <w:szCs w:val="24"/>
          <w:lang w:val="en-GB"/>
        </w:rPr>
        <w:t>control</w:t>
      </w:r>
      <w:r w:rsidRPr="00CC6745">
        <w:rPr>
          <w:rFonts w:ascii="PermianSerifTypeface" w:hAnsi="PermianSerifTypeface" w:cs="Times New Roman"/>
          <w:sz w:val="24"/>
          <w:szCs w:val="24"/>
          <w:lang w:val="en-GB"/>
        </w:rPr>
        <w:t xml:space="preserve"> may be issued by the </w:t>
      </w:r>
      <w:r w:rsidR="005D5076">
        <w:rPr>
          <w:rFonts w:ascii="PermianSerifTypeface" w:hAnsi="PermianSerifTypeface" w:cs="Times New Roman"/>
          <w:sz w:val="24"/>
          <w:szCs w:val="24"/>
          <w:lang w:val="en-GB"/>
        </w:rPr>
        <w:t>G</w:t>
      </w:r>
      <w:r w:rsidRPr="00CC6745">
        <w:rPr>
          <w:rFonts w:ascii="PermianSerifTypeface" w:hAnsi="PermianSerifTypeface" w:cs="Times New Roman"/>
          <w:sz w:val="24"/>
          <w:szCs w:val="24"/>
          <w:lang w:val="en-GB"/>
        </w:rPr>
        <w:t xml:space="preserve">overnor, </w:t>
      </w:r>
      <w:r w:rsidR="005D5076">
        <w:rPr>
          <w:rFonts w:ascii="PermianSerifTypeface" w:hAnsi="PermianSerifTypeface" w:cs="Times New Roman"/>
          <w:sz w:val="24"/>
          <w:szCs w:val="24"/>
          <w:lang w:val="en-GB"/>
        </w:rPr>
        <w:t>F</w:t>
      </w:r>
      <w:r w:rsidRPr="00CC6745">
        <w:rPr>
          <w:rFonts w:ascii="PermianSerifTypeface" w:hAnsi="PermianSerifTypeface" w:cs="Times New Roman"/>
          <w:sz w:val="24"/>
          <w:szCs w:val="24"/>
          <w:lang w:val="en-GB"/>
        </w:rPr>
        <w:t xml:space="preserve">irst </w:t>
      </w:r>
      <w:r w:rsidR="005D5076">
        <w:rPr>
          <w:rFonts w:ascii="PermianSerifTypeface" w:hAnsi="PermianSerifTypeface" w:cs="Times New Roman"/>
          <w:sz w:val="24"/>
          <w:szCs w:val="24"/>
          <w:lang w:val="en-GB"/>
        </w:rPr>
        <w:t>D</w:t>
      </w:r>
      <w:r w:rsidRPr="00CC6745">
        <w:rPr>
          <w:rFonts w:ascii="PermianSerifTypeface" w:hAnsi="PermianSerifTypeface" w:cs="Times New Roman"/>
          <w:sz w:val="24"/>
          <w:szCs w:val="24"/>
          <w:lang w:val="en-GB"/>
        </w:rPr>
        <w:t xml:space="preserve">eputy </w:t>
      </w:r>
      <w:r w:rsidR="005D5076">
        <w:rPr>
          <w:rFonts w:ascii="PermianSerifTypeface" w:hAnsi="PermianSerifTypeface" w:cs="Times New Roman"/>
          <w:sz w:val="24"/>
          <w:szCs w:val="24"/>
          <w:lang w:val="en-GB"/>
        </w:rPr>
        <w:t>G</w:t>
      </w:r>
      <w:r w:rsidRPr="00CC6745">
        <w:rPr>
          <w:rFonts w:ascii="PermianSerifTypeface" w:hAnsi="PermianSerifTypeface" w:cs="Times New Roman"/>
          <w:sz w:val="24"/>
          <w:szCs w:val="24"/>
          <w:lang w:val="en-GB"/>
        </w:rPr>
        <w:t xml:space="preserve">overnor, </w:t>
      </w:r>
      <w:r w:rsidR="005D5076">
        <w:rPr>
          <w:rFonts w:ascii="PermianSerifTypeface" w:hAnsi="PermianSerifTypeface" w:cs="Times New Roman"/>
          <w:sz w:val="24"/>
          <w:szCs w:val="24"/>
          <w:lang w:val="en-GB"/>
        </w:rPr>
        <w:t>D</w:t>
      </w:r>
      <w:r w:rsidRPr="00CC6745">
        <w:rPr>
          <w:rFonts w:ascii="PermianSerifTypeface" w:hAnsi="PermianSerifTypeface" w:cs="Times New Roman"/>
          <w:sz w:val="24"/>
          <w:szCs w:val="24"/>
          <w:lang w:val="en-GB"/>
        </w:rPr>
        <w:t xml:space="preserve">eputy </w:t>
      </w:r>
      <w:r w:rsidR="005D5076">
        <w:rPr>
          <w:rFonts w:ascii="PermianSerifTypeface" w:hAnsi="PermianSerifTypeface" w:cs="Times New Roman"/>
          <w:sz w:val="24"/>
          <w:szCs w:val="24"/>
          <w:lang w:val="en-GB"/>
        </w:rPr>
        <w:t>G</w:t>
      </w:r>
      <w:r w:rsidRPr="00CC6745">
        <w:rPr>
          <w:rFonts w:ascii="PermianSerifTypeface" w:hAnsi="PermianSerifTypeface" w:cs="Times New Roman"/>
          <w:sz w:val="24"/>
          <w:szCs w:val="24"/>
          <w:lang w:val="en-GB"/>
        </w:rPr>
        <w:t xml:space="preserve">overnors, or the </w:t>
      </w:r>
      <w:r w:rsidR="005D5076">
        <w:rPr>
          <w:rFonts w:ascii="PermianSerifTypeface" w:hAnsi="PermianSerifTypeface" w:cs="Times New Roman"/>
          <w:sz w:val="24"/>
          <w:szCs w:val="24"/>
          <w:lang w:val="en-GB"/>
        </w:rPr>
        <w:t>H</w:t>
      </w:r>
      <w:r w:rsidRPr="00CC6745">
        <w:rPr>
          <w:rFonts w:ascii="PermianSerifTypeface" w:hAnsi="PermianSerifTypeface" w:cs="Times New Roman"/>
          <w:sz w:val="24"/>
          <w:szCs w:val="24"/>
          <w:lang w:val="en-GB"/>
        </w:rPr>
        <w:t>ead of the subdivision within the NBM with oversight responsibilities for the Single Central Depository</w:t>
      </w:r>
      <w:r w:rsidR="00A635DC" w:rsidRPr="00CC6745">
        <w:rPr>
          <w:rFonts w:ascii="PermianSerifTypeface" w:hAnsi="PermianSerifTypeface" w:cs="Times New Roman"/>
          <w:sz w:val="24"/>
          <w:szCs w:val="24"/>
          <w:lang w:val="en-GB"/>
        </w:rPr>
        <w:t>.</w:t>
      </w:r>
    </w:p>
    <w:p w14:paraId="593E09C4" w14:textId="502BE535" w:rsidR="00A635DC" w:rsidRPr="00C57F89" w:rsidRDefault="005D5076"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5D5076">
        <w:rPr>
          <w:rFonts w:ascii="PermianSerifTypeface" w:hAnsi="PermianSerifTypeface" w:cs="Times New Roman"/>
          <w:sz w:val="24"/>
          <w:szCs w:val="24"/>
          <w:lang w:val="en-GB"/>
        </w:rPr>
        <w:t xml:space="preserve">The decision to conduct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shall contain, at a minimum, the name of the entity subject to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the type of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the inspectors appointed to conduct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(hereinafter referred to as inspectors), the period subject to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the date of </w:t>
      </w:r>
      <w:r w:rsidR="0092162B">
        <w:rPr>
          <w:rFonts w:ascii="PermianSerifTypeface" w:hAnsi="PermianSerifTypeface" w:cs="Times New Roman"/>
          <w:sz w:val="24"/>
          <w:szCs w:val="24"/>
          <w:lang w:val="en-GB"/>
        </w:rPr>
        <w:t>initiation</w:t>
      </w:r>
      <w:r w:rsidRPr="005D5076">
        <w:rPr>
          <w:rFonts w:ascii="PermianSerifTypeface" w:hAnsi="PermianSerifTypeface" w:cs="Times New Roman"/>
          <w:sz w:val="24"/>
          <w:szCs w:val="24"/>
          <w:lang w:val="en-GB"/>
        </w:rPr>
        <w:t xml:space="preserve"> of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the position, surname, first name, and signature of the person who issued the decision</w:t>
      </w:r>
      <w:r w:rsidR="00A635DC" w:rsidRPr="00C57F89">
        <w:rPr>
          <w:rFonts w:ascii="PermianSerifTypeface" w:hAnsi="PermianSerifTypeface" w:cs="Times New Roman"/>
          <w:sz w:val="24"/>
          <w:szCs w:val="24"/>
          <w:lang w:val="en-GB"/>
        </w:rPr>
        <w:t>.</w:t>
      </w:r>
    </w:p>
    <w:p w14:paraId="0FAB89C2" w14:textId="689196F4" w:rsidR="008059B6" w:rsidRPr="005D5076" w:rsidRDefault="005D5076"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bookmarkStart w:id="0" w:name="_Hlk175165366"/>
      <w:r w:rsidRPr="005D5076">
        <w:rPr>
          <w:rFonts w:ascii="PermianSerifTypeface" w:hAnsi="PermianSerifTypeface" w:cs="Times New Roman"/>
          <w:sz w:val="24"/>
          <w:szCs w:val="24"/>
          <w:lang w:val="en-GB"/>
        </w:rPr>
        <w:t xml:space="preserve">The decision to </w:t>
      </w:r>
      <w:r w:rsidR="003C539D">
        <w:rPr>
          <w:rFonts w:ascii="PermianSerifTypeface" w:hAnsi="PermianSerifTypeface" w:cs="Times New Roman"/>
          <w:sz w:val="24"/>
          <w:szCs w:val="24"/>
          <w:lang w:val="en-GB"/>
        </w:rPr>
        <w:t>conduct</w:t>
      </w:r>
      <w:r w:rsidRPr="005D5076">
        <w:rPr>
          <w:rFonts w:ascii="PermianSerifTypeface" w:hAnsi="PermianSerifTypeface" w:cs="Times New Roman"/>
          <w:sz w:val="24"/>
          <w:szCs w:val="24"/>
          <w:lang w:val="en-GB"/>
        </w:rPr>
        <w:t xml:space="preserve">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shall be notified to the Single Central Depository in accordance with the provisions of points 4 to 7</w:t>
      </w:r>
      <w:r w:rsidR="00A635DC" w:rsidRPr="005D5076">
        <w:rPr>
          <w:rFonts w:ascii="PermianSerifTypeface" w:hAnsi="PermianSerifTypeface" w:cs="Times New Roman"/>
          <w:sz w:val="24"/>
          <w:szCs w:val="24"/>
          <w:lang w:val="en-GB"/>
        </w:rPr>
        <w:t xml:space="preserve">. </w:t>
      </w:r>
    </w:p>
    <w:bookmarkEnd w:id="0"/>
    <w:p w14:paraId="5357BC1D" w14:textId="0093F482" w:rsidR="00A635DC" w:rsidRPr="00C57F89" w:rsidRDefault="005D5076"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5D5076">
        <w:rPr>
          <w:rFonts w:ascii="PermianSerifTypeface" w:hAnsi="PermianSerifTypeface" w:cs="Times New Roman"/>
          <w:sz w:val="24"/>
          <w:szCs w:val="24"/>
          <w:lang w:val="en-GB"/>
        </w:rPr>
        <w:t xml:space="preserve">The NBM, simultaneously with the decision to </w:t>
      </w:r>
      <w:r w:rsidR="003C539D">
        <w:rPr>
          <w:rFonts w:ascii="PermianSerifTypeface" w:hAnsi="PermianSerifTypeface" w:cs="Times New Roman"/>
          <w:sz w:val="24"/>
          <w:szCs w:val="24"/>
          <w:lang w:val="en-GB"/>
        </w:rPr>
        <w:t>conduct</w:t>
      </w:r>
      <w:r w:rsidRPr="005D5076">
        <w:rPr>
          <w:rFonts w:ascii="PermianSerifTypeface" w:hAnsi="PermianSerifTypeface" w:cs="Times New Roman"/>
          <w:sz w:val="24"/>
          <w:szCs w:val="24"/>
          <w:lang w:val="en-GB"/>
        </w:rPr>
        <w:t xml:space="preserve">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shall notify the list of information/documents to be submitted on the date of </w:t>
      </w:r>
      <w:r w:rsidR="0092162B">
        <w:rPr>
          <w:rFonts w:ascii="PermianSerifTypeface" w:hAnsi="PermianSerifTypeface" w:cs="Times New Roman"/>
          <w:sz w:val="24"/>
          <w:szCs w:val="24"/>
          <w:lang w:val="en-GB"/>
        </w:rPr>
        <w:t>initiation</w:t>
      </w:r>
      <w:r w:rsidRPr="005D5076">
        <w:rPr>
          <w:rFonts w:ascii="PermianSerifTypeface" w:hAnsi="PermianSerifTypeface" w:cs="Times New Roman"/>
          <w:sz w:val="24"/>
          <w:szCs w:val="24"/>
          <w:lang w:val="en-GB"/>
        </w:rPr>
        <w:t xml:space="preserve"> of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by the Single Central Depository</w:t>
      </w:r>
      <w:r w:rsidR="00A635DC" w:rsidRPr="00C57F89">
        <w:rPr>
          <w:rFonts w:ascii="PermianSerifTypeface" w:hAnsi="PermianSerifTypeface" w:cs="Times New Roman"/>
          <w:sz w:val="24"/>
          <w:szCs w:val="24"/>
          <w:lang w:val="en-GB"/>
        </w:rPr>
        <w:t xml:space="preserve">. </w:t>
      </w:r>
      <w:r w:rsidRPr="005D5076">
        <w:rPr>
          <w:rFonts w:ascii="PermianSerifTypeface" w:hAnsi="PermianSerifTypeface" w:cs="Times New Roman"/>
          <w:sz w:val="24"/>
          <w:szCs w:val="24"/>
          <w:lang w:val="en-GB"/>
        </w:rPr>
        <w:t xml:space="preserve">During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NBM may request additional information/documents to be submitted by the Single Central Depository, during which time the deadline for completing the </w:t>
      </w:r>
      <w:r w:rsidR="0092162B">
        <w:rPr>
          <w:rFonts w:ascii="PermianSerifTypeface" w:hAnsi="PermianSerifTypeface" w:cs="Times New Roman"/>
          <w:sz w:val="24"/>
          <w:szCs w:val="24"/>
          <w:lang w:val="en-GB"/>
        </w:rPr>
        <w:t>control</w:t>
      </w:r>
      <w:r w:rsidRPr="005D5076">
        <w:rPr>
          <w:rFonts w:ascii="PermianSerifTypeface" w:hAnsi="PermianSerifTypeface" w:cs="Times New Roman"/>
          <w:sz w:val="24"/>
          <w:szCs w:val="24"/>
          <w:lang w:val="en-GB"/>
        </w:rPr>
        <w:t xml:space="preserve"> procedure shall be suspended in accordance with Article</w:t>
      </w:r>
      <w:r w:rsidR="00CA7244" w:rsidRPr="00C57F89">
        <w:rPr>
          <w:rFonts w:ascii="PermianSerifTypeface" w:hAnsi="PermianSerifTypeface" w:cs="Times New Roman"/>
          <w:sz w:val="24"/>
          <w:szCs w:val="24"/>
          <w:lang w:val="en-GB"/>
        </w:rPr>
        <w:t xml:space="preserve"> 11 </w:t>
      </w:r>
      <w:r w:rsidRPr="005D5076">
        <w:rPr>
          <w:rFonts w:ascii="PermianSerifTypeface" w:hAnsi="PermianSerifTypeface" w:cs="Times New Roman"/>
          <w:sz w:val="24"/>
          <w:szCs w:val="24"/>
          <w:lang w:val="en-GB"/>
        </w:rPr>
        <w:t>paragraph</w:t>
      </w:r>
      <w:r w:rsidR="00CA7244" w:rsidRPr="00C57F89">
        <w:rPr>
          <w:rFonts w:ascii="PermianSerifTypeface" w:hAnsi="PermianSerifTypeface" w:cs="Times New Roman"/>
          <w:sz w:val="24"/>
          <w:szCs w:val="24"/>
          <w:lang w:val="en-GB"/>
        </w:rPr>
        <w:t xml:space="preserve"> (3</w:t>
      </w:r>
      <w:r w:rsidR="00CA7244" w:rsidRPr="00C57F89">
        <w:rPr>
          <w:rFonts w:ascii="PermianSerifTypeface" w:hAnsi="PermianSerifTypeface" w:cs="Times New Roman"/>
          <w:sz w:val="24"/>
          <w:szCs w:val="24"/>
          <w:vertAlign w:val="superscript"/>
          <w:lang w:val="en-GB"/>
        </w:rPr>
        <w:t>8</w:t>
      </w:r>
      <w:r w:rsidR="00CA7244" w:rsidRPr="00C57F89">
        <w:rPr>
          <w:rFonts w:ascii="PermianSerifTypeface" w:hAnsi="PermianSerifTypeface" w:cs="Times New Roman"/>
          <w:sz w:val="24"/>
          <w:szCs w:val="24"/>
          <w:lang w:val="en-GB"/>
        </w:rPr>
        <w:t xml:space="preserve">) </w:t>
      </w:r>
      <w:r w:rsidRPr="005D5076">
        <w:rPr>
          <w:rFonts w:ascii="PermianSerifTypeface" w:hAnsi="PermianSerifTypeface" w:cs="Times New Roman"/>
          <w:sz w:val="24"/>
          <w:szCs w:val="24"/>
        </w:rPr>
        <w:t>of Law No 548/1995</w:t>
      </w:r>
      <w:r w:rsidR="00CA7244" w:rsidRPr="00C57F89">
        <w:rPr>
          <w:rFonts w:ascii="PermianSerifTypeface" w:hAnsi="PermianSerifTypeface" w:cs="Times New Roman"/>
          <w:sz w:val="24"/>
          <w:szCs w:val="24"/>
          <w:lang w:val="en-GB"/>
        </w:rPr>
        <w:t xml:space="preserve">. </w:t>
      </w:r>
    </w:p>
    <w:p w14:paraId="67D89932" w14:textId="7ADC67D6" w:rsidR="00A635DC" w:rsidRPr="00C57F89" w:rsidRDefault="008C2131"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 xml:space="preserve">In the case of an unannounced inspection, the decision to </w:t>
      </w:r>
      <w:r w:rsidR="003C539D">
        <w:rPr>
          <w:rFonts w:ascii="PermianSerifTypeface" w:hAnsi="PermianSerifTypeface" w:cs="Times New Roman"/>
          <w:sz w:val="24"/>
          <w:szCs w:val="24"/>
          <w:lang w:val="en-GB"/>
        </w:rPr>
        <w:t>conduct</w:t>
      </w:r>
      <w:r w:rsidRPr="008C2131">
        <w:rPr>
          <w:rFonts w:ascii="PermianSerifTypeface" w:hAnsi="PermianSerifTypeface" w:cs="Times New Roman"/>
          <w:sz w:val="24"/>
          <w:szCs w:val="24"/>
          <w:lang w:val="en-GB"/>
        </w:rPr>
        <w:t xml:space="preserve"> the inspection and the list of information/documents to be submitted by the Single Central Depository shall be notified to the latter on the date of </w:t>
      </w:r>
      <w:r w:rsidR="0092162B">
        <w:rPr>
          <w:rFonts w:ascii="PermianSerifTypeface" w:hAnsi="PermianSerifTypeface" w:cs="Times New Roman"/>
          <w:sz w:val="24"/>
          <w:szCs w:val="24"/>
          <w:lang w:val="en-GB"/>
        </w:rPr>
        <w:t>initiation</w:t>
      </w:r>
      <w:r w:rsidRPr="008C2131">
        <w:rPr>
          <w:rFonts w:ascii="PermianSerifTypeface" w:hAnsi="PermianSerifTypeface" w:cs="Times New Roman"/>
          <w:sz w:val="24"/>
          <w:szCs w:val="24"/>
          <w:lang w:val="en-GB"/>
        </w:rPr>
        <w:t xml:space="preserve"> of inspection</w:t>
      </w:r>
      <w:r w:rsidR="00A635DC" w:rsidRPr="00C57F89">
        <w:rPr>
          <w:rFonts w:ascii="PermianSerifTypeface" w:hAnsi="PermianSerifTypeface" w:cs="Times New Roman"/>
          <w:sz w:val="24"/>
          <w:szCs w:val="24"/>
          <w:lang w:val="en-GB"/>
        </w:rPr>
        <w:t xml:space="preserve">. </w:t>
      </w:r>
    </w:p>
    <w:p w14:paraId="7B7A0C3F" w14:textId="65C540DA" w:rsidR="00A635DC" w:rsidRPr="00C57F89" w:rsidRDefault="008C2131"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 xml:space="preserve">The decision to </w:t>
      </w:r>
      <w:r w:rsidR="00B60682">
        <w:rPr>
          <w:rFonts w:ascii="PermianSerifTypeface" w:hAnsi="PermianSerifTypeface" w:cs="Times New Roman"/>
          <w:sz w:val="24"/>
          <w:szCs w:val="24"/>
          <w:lang w:val="en-GB"/>
        </w:rPr>
        <w:t xml:space="preserve">conduct </w:t>
      </w:r>
      <w:r w:rsidRPr="008C2131">
        <w:rPr>
          <w:rFonts w:ascii="PermianSerifTypeface" w:hAnsi="PermianSerifTypeface" w:cs="Times New Roman"/>
          <w:sz w:val="24"/>
          <w:szCs w:val="24"/>
          <w:lang w:val="en-GB"/>
        </w:rPr>
        <w:t xml:space="preserve">the inspection may be amended by issuing a decision by the persons indicated in point 12, with notification of the entity subject to </w:t>
      </w:r>
      <w:r w:rsidR="00B60682">
        <w:rPr>
          <w:rFonts w:ascii="PermianSerifTypeface" w:hAnsi="PermianSerifTypeface" w:cs="Times New Roman"/>
          <w:sz w:val="24"/>
          <w:szCs w:val="24"/>
          <w:lang w:val="en-GB"/>
        </w:rPr>
        <w:t>control</w:t>
      </w:r>
      <w:r w:rsidR="00A635DC" w:rsidRPr="00C57F89">
        <w:rPr>
          <w:rFonts w:ascii="PermianSerifTypeface" w:hAnsi="PermianSerifTypeface" w:cs="Times New Roman"/>
          <w:sz w:val="24"/>
          <w:szCs w:val="24"/>
          <w:lang w:val="en-GB"/>
        </w:rPr>
        <w:t>.</w:t>
      </w:r>
    </w:p>
    <w:p w14:paraId="1434BB1C" w14:textId="2F8D25EC" w:rsidR="00A635DC" w:rsidRPr="00C57F89" w:rsidRDefault="008C2131"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As part of the control, the NBM may carry out on-site inspections in accordance with the provisions of Article 751 paragraph (4) of Law No 548/1995 and of this Regulation</w:t>
      </w:r>
      <w:r w:rsidR="00A635DC" w:rsidRPr="00C57F89">
        <w:rPr>
          <w:rFonts w:ascii="PermianSerifTypeface" w:hAnsi="PermianSerifTypeface" w:cs="Times New Roman"/>
          <w:sz w:val="24"/>
          <w:szCs w:val="24"/>
          <w:lang w:val="en-GB"/>
        </w:rPr>
        <w:t>.</w:t>
      </w:r>
    </w:p>
    <w:p w14:paraId="45FADC24" w14:textId="6EB7D2CE" w:rsidR="00A635DC" w:rsidRPr="00C57F89" w:rsidRDefault="008C2131"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color w:val="000000"/>
          <w:sz w:val="24"/>
          <w:szCs w:val="24"/>
          <w:lang w:val="en-GB" w:eastAsia="ro-MD"/>
        </w:rPr>
      </w:pPr>
      <w:r w:rsidRPr="008C2131">
        <w:rPr>
          <w:rFonts w:ascii="PermianSerifTypeface" w:hAnsi="PermianSerifTypeface" w:cs="Times New Roman"/>
          <w:sz w:val="24"/>
          <w:szCs w:val="24"/>
          <w:lang w:val="en-GB"/>
        </w:rPr>
        <w:lastRenderedPageBreak/>
        <w:t xml:space="preserve">The on-site inspection may be </w:t>
      </w:r>
      <w:r w:rsidR="003C539D">
        <w:rPr>
          <w:rFonts w:ascii="PermianSerifTypeface" w:hAnsi="PermianSerifTypeface" w:cs="Times New Roman"/>
          <w:sz w:val="24"/>
          <w:szCs w:val="24"/>
          <w:lang w:val="en-GB"/>
        </w:rPr>
        <w:t>conducted</w:t>
      </w:r>
      <w:r w:rsidRPr="008C2131">
        <w:rPr>
          <w:rFonts w:ascii="PermianSerifTypeface" w:hAnsi="PermianSerifTypeface" w:cs="Times New Roman"/>
          <w:sz w:val="24"/>
          <w:szCs w:val="24"/>
          <w:lang w:val="en-GB"/>
        </w:rPr>
        <w:t xml:space="preserve"> on the basis of the decision </w:t>
      </w:r>
      <w:r w:rsidR="00B60682">
        <w:rPr>
          <w:rFonts w:ascii="PermianSerifTypeface" w:hAnsi="PermianSerifTypeface" w:cs="Times New Roman"/>
          <w:sz w:val="24"/>
          <w:szCs w:val="24"/>
          <w:lang w:val="en-GB"/>
        </w:rPr>
        <w:t>regarding the control procedure</w:t>
      </w:r>
      <w:r w:rsidRPr="008C2131">
        <w:rPr>
          <w:rFonts w:ascii="PermianSerifTypeface" w:hAnsi="PermianSerifTypeface" w:cs="Times New Roman"/>
          <w:sz w:val="24"/>
          <w:szCs w:val="24"/>
          <w:lang w:val="en-GB"/>
        </w:rPr>
        <w:t xml:space="preserve">, issued in accordance with the provisions of points 12-17, if it provides for the on-site inspection and the </w:t>
      </w:r>
      <w:r w:rsidR="001D3D00">
        <w:rPr>
          <w:rFonts w:ascii="PermianSerifTypeface" w:hAnsi="PermianSerifTypeface" w:cs="Times New Roman"/>
          <w:sz w:val="24"/>
          <w:szCs w:val="24"/>
          <w:lang w:val="en-GB"/>
        </w:rPr>
        <w:t>data</w:t>
      </w:r>
      <w:r w:rsidRPr="008C2131">
        <w:rPr>
          <w:rFonts w:ascii="PermianSerifTypeface" w:hAnsi="PermianSerifTypeface" w:cs="Times New Roman"/>
          <w:sz w:val="24"/>
          <w:szCs w:val="24"/>
          <w:lang w:val="en-GB"/>
        </w:rPr>
        <w:t xml:space="preserve"> of the on-site inspection, or on the basis of the NBM decision containing at least the information provided for in Article 751 paragraph (4) of Law No 548/1995</w:t>
      </w:r>
      <w:r w:rsidR="00A635DC" w:rsidRPr="00C57F89">
        <w:rPr>
          <w:rFonts w:ascii="PermianSerifTypeface" w:hAnsi="PermianSerifTypeface" w:cs="Times New Roman"/>
          <w:color w:val="000000"/>
          <w:sz w:val="24"/>
          <w:szCs w:val="24"/>
          <w:lang w:val="en-GB" w:eastAsia="ro-MD"/>
        </w:rPr>
        <w:t>.</w:t>
      </w:r>
    </w:p>
    <w:p w14:paraId="43DC290B" w14:textId="53D0A928" w:rsidR="00A635DC" w:rsidRPr="00C57F89" w:rsidRDefault="008C2131" w:rsidP="0021039E">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 xml:space="preserve">During the inspection, meetings may be organized on matters related to the inspection, either in person or via electronic means of communication, between inspectors and governing and supervisory bodies, their members, shareholders, and employees of the </w:t>
      </w:r>
      <w:r w:rsidR="001D3D00">
        <w:rPr>
          <w:rFonts w:ascii="PermianSerifTypeface" w:hAnsi="PermianSerifTypeface" w:cs="Times New Roman"/>
          <w:sz w:val="24"/>
          <w:szCs w:val="24"/>
          <w:lang w:val="en-GB"/>
        </w:rPr>
        <w:t xml:space="preserve">Single </w:t>
      </w:r>
      <w:r w:rsidRPr="008C2131">
        <w:rPr>
          <w:rFonts w:ascii="PermianSerifTypeface" w:hAnsi="PermianSerifTypeface" w:cs="Times New Roman"/>
          <w:sz w:val="24"/>
          <w:szCs w:val="24"/>
          <w:lang w:val="en-GB"/>
        </w:rPr>
        <w:t>Central Depository, with the participation, where necessary, of other persons</w:t>
      </w:r>
      <w:r w:rsidR="00A635DC" w:rsidRPr="00C57F89">
        <w:rPr>
          <w:rFonts w:ascii="PermianSerifTypeface" w:hAnsi="PermianSerifTypeface" w:cs="Times New Roman"/>
          <w:sz w:val="24"/>
          <w:szCs w:val="24"/>
          <w:lang w:val="en-GB"/>
        </w:rPr>
        <w:t xml:space="preserve">. </w:t>
      </w:r>
    </w:p>
    <w:p w14:paraId="701F6E46" w14:textId="0B7D7063" w:rsidR="00A635DC" w:rsidRPr="00C57F89" w:rsidRDefault="008C2131" w:rsidP="0021039E">
      <w:pPr>
        <w:pStyle w:val="ListParagraph"/>
        <w:numPr>
          <w:ilvl w:val="0"/>
          <w:numId w:val="16"/>
        </w:numPr>
        <w:tabs>
          <w:tab w:val="left" w:pos="993"/>
        </w:tabs>
        <w:spacing w:after="0" w:line="276" w:lineRule="auto"/>
        <w:ind w:left="0" w:firstLine="567"/>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The persons referred to in point 20 are required to cooperate with inspectors, including</w:t>
      </w:r>
      <w:r w:rsidR="00A635DC" w:rsidRPr="00C57F89">
        <w:rPr>
          <w:rFonts w:ascii="PermianSerifTypeface" w:hAnsi="PermianSerifTypeface" w:cs="Times New Roman"/>
          <w:sz w:val="24"/>
          <w:szCs w:val="24"/>
          <w:lang w:val="en-GB"/>
        </w:rPr>
        <w:t>:</w:t>
      </w:r>
    </w:p>
    <w:p w14:paraId="64634755" w14:textId="226C0170" w:rsidR="001968E9" w:rsidRPr="00C57F89" w:rsidRDefault="008C2131"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lang w:val="en-GB"/>
        </w:rPr>
      </w:pPr>
      <w:r w:rsidRPr="008C2131">
        <w:rPr>
          <w:rFonts w:ascii="PermianSerifTypeface" w:hAnsi="PermianSerifTypeface" w:cs="Times New Roman"/>
          <w:sz w:val="24"/>
          <w:szCs w:val="24"/>
          <w:lang w:val="en-GB"/>
        </w:rPr>
        <w:t xml:space="preserve">respond in a timely manner to requests made by inspectors and cooperate in good </w:t>
      </w:r>
      <w:proofErr w:type="gramStart"/>
      <w:r w:rsidRPr="008C2131">
        <w:rPr>
          <w:rFonts w:ascii="PermianSerifTypeface" w:hAnsi="PermianSerifTypeface" w:cs="Times New Roman"/>
          <w:sz w:val="24"/>
          <w:szCs w:val="24"/>
          <w:lang w:val="en-GB"/>
        </w:rPr>
        <w:t>faith</w:t>
      </w:r>
      <w:r w:rsidR="00A635DC" w:rsidRPr="00C57F89">
        <w:rPr>
          <w:rFonts w:ascii="PermianSerifTypeface" w:hAnsi="PermianSerifTypeface" w:cs="Times New Roman"/>
          <w:sz w:val="24"/>
          <w:szCs w:val="24"/>
          <w:lang w:val="en-GB"/>
        </w:rPr>
        <w:t>;</w:t>
      </w:r>
      <w:proofErr w:type="gramEnd"/>
    </w:p>
    <w:p w14:paraId="5751779C" w14:textId="4A3D473A" w:rsidR="001968E9" w:rsidRPr="00C57F89"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4E3853" w:rsidRPr="004E3853">
        <w:rPr>
          <w:rFonts w:ascii="PermianSerifTypeface" w:hAnsi="PermianSerifTypeface" w:cs="Times New Roman"/>
          <w:sz w:val="24"/>
          <w:szCs w:val="24"/>
          <w:lang w:val="en-GB"/>
        </w:rPr>
        <w:t xml:space="preserve">provide inspectors with the requested information, documents, and explanations, as appropriate, in electronic form, on paper, in the case of providing copies or extracts from the requested documents, confirm their conformity with the original/authenticity by </w:t>
      </w:r>
      <w:proofErr w:type="gramStart"/>
      <w:r w:rsidR="004E3853" w:rsidRPr="004E3853">
        <w:rPr>
          <w:rFonts w:ascii="PermianSerifTypeface" w:hAnsi="PermianSerifTypeface" w:cs="Times New Roman"/>
          <w:sz w:val="24"/>
          <w:szCs w:val="24"/>
          <w:lang w:val="en-GB"/>
        </w:rPr>
        <w:t>signature</w:t>
      </w:r>
      <w:r w:rsidR="00A635DC" w:rsidRPr="00C57F89">
        <w:rPr>
          <w:rFonts w:ascii="PermianSerifTypeface" w:hAnsi="PermianSerifTypeface" w:cs="Times New Roman"/>
          <w:sz w:val="24"/>
          <w:szCs w:val="24"/>
          <w:lang w:val="en-GB"/>
        </w:rPr>
        <w:t>;</w:t>
      </w:r>
      <w:proofErr w:type="gramEnd"/>
    </w:p>
    <w:p w14:paraId="67D3F313" w14:textId="091CB983" w:rsidR="001968E9" w:rsidRPr="00C57F89"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4E3853" w:rsidRPr="004E3853">
        <w:rPr>
          <w:rFonts w:ascii="PermianSerifTypeface" w:hAnsi="PermianSerifTypeface" w:cs="Times New Roman"/>
          <w:sz w:val="24"/>
          <w:szCs w:val="24"/>
          <w:lang w:val="en-GB"/>
        </w:rPr>
        <w:t xml:space="preserve">to ensure, in the case of on-site inspections, access for inspectors to the premises and rooms of the Single Central Depository during working </w:t>
      </w:r>
      <w:proofErr w:type="gramStart"/>
      <w:r w:rsidR="004E3853" w:rsidRPr="004E3853">
        <w:rPr>
          <w:rFonts w:ascii="PermianSerifTypeface" w:hAnsi="PermianSerifTypeface" w:cs="Times New Roman"/>
          <w:sz w:val="24"/>
          <w:szCs w:val="24"/>
          <w:lang w:val="en-GB"/>
        </w:rPr>
        <w:t>hours</w:t>
      </w:r>
      <w:r w:rsidR="00A635DC" w:rsidRPr="00C57F89">
        <w:rPr>
          <w:rFonts w:ascii="PermianSerifTypeface" w:hAnsi="PermianSerifTypeface" w:cs="Times New Roman"/>
          <w:sz w:val="24"/>
          <w:szCs w:val="24"/>
          <w:lang w:val="en-GB"/>
        </w:rPr>
        <w:t>;</w:t>
      </w:r>
      <w:proofErr w:type="gramEnd"/>
    </w:p>
    <w:p w14:paraId="2471C75E" w14:textId="35BD9D39" w:rsidR="00A635DC" w:rsidRPr="00C57F89" w:rsidRDefault="008813E8" w:rsidP="00D777E4">
      <w:pPr>
        <w:pStyle w:val="ListParagraph"/>
        <w:numPr>
          <w:ilvl w:val="1"/>
          <w:numId w:val="18"/>
        </w:numPr>
        <w:tabs>
          <w:tab w:val="left" w:pos="1134"/>
        </w:tabs>
        <w:spacing w:after="0" w:line="276" w:lineRule="auto"/>
        <w:ind w:left="0" w:firstLine="573"/>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4E3853" w:rsidRPr="004E3853">
        <w:rPr>
          <w:rFonts w:ascii="PermianSerifTypeface" w:hAnsi="PermianSerifTypeface" w:cs="Times New Roman"/>
          <w:sz w:val="24"/>
          <w:szCs w:val="24"/>
          <w:lang w:val="en-GB"/>
        </w:rPr>
        <w:t xml:space="preserve">to enable inspectors to use/access data from the </w:t>
      </w:r>
      <w:r w:rsidR="001D3D00">
        <w:rPr>
          <w:rFonts w:ascii="PermianSerifTypeface" w:hAnsi="PermianSerifTypeface" w:cs="Times New Roman"/>
          <w:sz w:val="24"/>
          <w:szCs w:val="24"/>
          <w:lang w:val="en-GB"/>
        </w:rPr>
        <w:t xml:space="preserve">Single </w:t>
      </w:r>
      <w:r w:rsidR="004E3853" w:rsidRPr="004E3853">
        <w:rPr>
          <w:rFonts w:ascii="PermianSerifTypeface" w:hAnsi="PermianSerifTypeface" w:cs="Times New Roman"/>
          <w:sz w:val="24"/>
          <w:szCs w:val="24"/>
          <w:lang w:val="en-GB"/>
        </w:rPr>
        <w:t xml:space="preserve">Central Depository's IT systems in accordance with the </w:t>
      </w:r>
      <w:r w:rsidR="001D3D00">
        <w:rPr>
          <w:rFonts w:ascii="PermianSerifTypeface" w:hAnsi="PermianSerifTypeface" w:cs="Times New Roman"/>
          <w:sz w:val="24"/>
          <w:szCs w:val="24"/>
          <w:lang w:val="en-GB"/>
        </w:rPr>
        <w:t>aim</w:t>
      </w:r>
      <w:r w:rsidR="004E3853" w:rsidRPr="004E3853">
        <w:rPr>
          <w:rFonts w:ascii="PermianSerifTypeface" w:hAnsi="PermianSerifTypeface" w:cs="Times New Roman"/>
          <w:sz w:val="24"/>
          <w:szCs w:val="24"/>
          <w:lang w:val="en-GB"/>
        </w:rPr>
        <w:t xml:space="preserve"> of the </w:t>
      </w:r>
      <w:r w:rsidR="001D3D00">
        <w:rPr>
          <w:rFonts w:ascii="PermianSerifTypeface" w:hAnsi="PermianSerifTypeface" w:cs="Times New Roman"/>
          <w:sz w:val="24"/>
          <w:szCs w:val="24"/>
          <w:lang w:val="en-GB"/>
        </w:rPr>
        <w:t>control</w:t>
      </w:r>
      <w:r w:rsidR="004E3853" w:rsidRPr="004E3853">
        <w:rPr>
          <w:rFonts w:ascii="PermianSerifTypeface" w:hAnsi="PermianSerifTypeface" w:cs="Times New Roman"/>
          <w:sz w:val="24"/>
          <w:szCs w:val="24"/>
          <w:lang w:val="en-GB"/>
        </w:rPr>
        <w:t>, granting them viewing access to all IT systems, databases, IT tools, electronic files, and data necessary for this purpose</w:t>
      </w:r>
      <w:r w:rsidR="00A635DC" w:rsidRPr="00C57F89">
        <w:rPr>
          <w:rFonts w:ascii="PermianSerifTypeface" w:hAnsi="PermianSerifTypeface" w:cs="Times New Roman"/>
          <w:sz w:val="24"/>
          <w:szCs w:val="24"/>
          <w:lang w:val="en-GB"/>
        </w:rPr>
        <w:t>.</w:t>
      </w:r>
    </w:p>
    <w:p w14:paraId="084B9DE1" w14:textId="1EBF90D4" w:rsidR="00A635DC" w:rsidRPr="00C57F89" w:rsidRDefault="00C86EE8" w:rsidP="00D777E4">
      <w:pPr>
        <w:pStyle w:val="ListParagraph"/>
        <w:numPr>
          <w:ilvl w:val="0"/>
          <w:numId w:val="16"/>
        </w:numPr>
        <w:tabs>
          <w:tab w:val="left" w:pos="851"/>
          <w:tab w:val="left" w:pos="993"/>
        </w:tabs>
        <w:spacing w:after="0" w:line="276" w:lineRule="auto"/>
        <w:ind w:left="0" w:firstLine="567"/>
        <w:jc w:val="both"/>
        <w:rPr>
          <w:rFonts w:ascii="PermianSerifTypeface" w:hAnsi="PermianSerifTypeface" w:cs="Times New Roman"/>
          <w:sz w:val="24"/>
          <w:szCs w:val="24"/>
          <w:lang w:val="en-GB"/>
        </w:rPr>
      </w:pPr>
      <w:r w:rsidRPr="00C86EE8">
        <w:rPr>
          <w:rFonts w:ascii="PermianSerifTypeface" w:hAnsi="PermianSerifTypeface" w:cs="Times New Roman"/>
          <w:sz w:val="24"/>
          <w:szCs w:val="24"/>
          <w:lang w:val="en-GB"/>
        </w:rPr>
        <w:t xml:space="preserve">In order to facilitate cooperation during the </w:t>
      </w:r>
      <w:r w:rsidR="001D3D00">
        <w:rPr>
          <w:rFonts w:ascii="PermianSerifTypeface" w:hAnsi="PermianSerifTypeface" w:cs="Times New Roman"/>
          <w:sz w:val="24"/>
          <w:szCs w:val="24"/>
          <w:lang w:val="en-GB"/>
        </w:rPr>
        <w:t>control</w:t>
      </w:r>
      <w:r w:rsidRPr="00C86EE8">
        <w:rPr>
          <w:rFonts w:ascii="PermianSerifTypeface" w:hAnsi="PermianSerifTypeface" w:cs="Times New Roman"/>
          <w:sz w:val="24"/>
          <w:szCs w:val="24"/>
          <w:lang w:val="en-GB"/>
        </w:rPr>
        <w:t xml:space="preserve">, on the date of </w:t>
      </w:r>
      <w:r w:rsidR="001D3D00">
        <w:rPr>
          <w:rFonts w:ascii="PermianSerifTypeface" w:hAnsi="PermianSerifTypeface" w:cs="Times New Roman"/>
          <w:sz w:val="24"/>
          <w:szCs w:val="24"/>
          <w:lang w:val="en-GB"/>
        </w:rPr>
        <w:t>initiation</w:t>
      </w:r>
      <w:r w:rsidRPr="00C86EE8">
        <w:rPr>
          <w:rFonts w:ascii="PermianSerifTypeface" w:hAnsi="PermianSerifTypeface" w:cs="Times New Roman"/>
          <w:sz w:val="24"/>
          <w:szCs w:val="24"/>
          <w:lang w:val="en-GB"/>
        </w:rPr>
        <w:t xml:space="preserve"> of the </w:t>
      </w:r>
      <w:r w:rsidR="001D3D00">
        <w:rPr>
          <w:rFonts w:ascii="PermianSerifTypeface" w:hAnsi="PermianSerifTypeface" w:cs="Times New Roman"/>
          <w:sz w:val="24"/>
          <w:szCs w:val="24"/>
          <w:lang w:val="en-GB"/>
        </w:rPr>
        <w:t>control</w:t>
      </w:r>
      <w:r w:rsidRPr="00C86EE8">
        <w:rPr>
          <w:rFonts w:ascii="PermianSerifTypeface" w:hAnsi="PermianSerifTypeface" w:cs="Times New Roman"/>
          <w:sz w:val="24"/>
          <w:szCs w:val="24"/>
          <w:lang w:val="en-GB"/>
        </w:rPr>
        <w:t xml:space="preserve">, the governing body/member of the governing body of the Single Central Depository shall determine and communicate to the inspectors the contact persons responsible on behalf of the Single Central Depository for organising interaction with the inspectors in each of the areas subject to </w:t>
      </w:r>
      <w:r w:rsidR="001D3D00">
        <w:rPr>
          <w:rFonts w:ascii="PermianSerifTypeface" w:hAnsi="PermianSerifTypeface" w:cs="Times New Roman"/>
          <w:sz w:val="24"/>
          <w:szCs w:val="24"/>
          <w:lang w:val="en-GB"/>
        </w:rPr>
        <w:t>control</w:t>
      </w:r>
      <w:r w:rsidR="00682704" w:rsidRPr="00C57F89">
        <w:rPr>
          <w:rFonts w:ascii="PermianSerifTypeface" w:hAnsi="PermianSerifTypeface" w:cs="Times New Roman"/>
          <w:sz w:val="24"/>
          <w:szCs w:val="24"/>
          <w:lang w:val="en-GB"/>
        </w:rPr>
        <w:t>.</w:t>
      </w:r>
    </w:p>
    <w:p w14:paraId="5B1D90FE" w14:textId="6D2773EB" w:rsidR="00A635DC" w:rsidRPr="00C57F89" w:rsidRDefault="00C86EE8"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C86EE8">
        <w:rPr>
          <w:rFonts w:ascii="PermianSerifTypeface" w:hAnsi="PermianSerifTypeface" w:cs="Times New Roman"/>
          <w:sz w:val="24"/>
          <w:szCs w:val="24"/>
          <w:lang w:val="en-GB"/>
        </w:rPr>
        <w:t>Inspectors have the right to</w:t>
      </w:r>
      <w:r w:rsidR="00A635DC" w:rsidRPr="00C57F89">
        <w:rPr>
          <w:rFonts w:ascii="PermianSerifTypeface" w:hAnsi="PermianSerifTypeface" w:cs="Times New Roman"/>
          <w:sz w:val="24"/>
          <w:szCs w:val="24"/>
          <w:lang w:val="en-GB"/>
        </w:rPr>
        <w:t>:</w:t>
      </w:r>
    </w:p>
    <w:p w14:paraId="18AFAAA3" w14:textId="0D635A91" w:rsidR="001968E9" w:rsidRPr="00C57F89" w:rsidRDefault="00C86EE8"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86EE8">
        <w:rPr>
          <w:rFonts w:ascii="PermianSerifTypeface" w:hAnsi="PermianSerifTypeface" w:cs="Times New Roman"/>
          <w:sz w:val="24"/>
          <w:szCs w:val="24"/>
          <w:lang w:val="en-GB"/>
        </w:rPr>
        <w:t xml:space="preserve">to physically access the premises and rooms of the Single Central Depository, accompanied by employees of the Single Central Depository, if </w:t>
      </w:r>
      <w:proofErr w:type="gramStart"/>
      <w:r w:rsidRPr="00C86EE8">
        <w:rPr>
          <w:rFonts w:ascii="PermianSerifTypeface" w:hAnsi="PermianSerifTypeface" w:cs="Times New Roman"/>
          <w:sz w:val="24"/>
          <w:szCs w:val="24"/>
          <w:lang w:val="en-GB"/>
        </w:rPr>
        <w:t>necessary</w:t>
      </w:r>
      <w:r w:rsidR="00A635DC" w:rsidRPr="00C57F89">
        <w:rPr>
          <w:rFonts w:ascii="PermianSerifTypeface" w:hAnsi="PermianSerifTypeface" w:cs="Times New Roman"/>
          <w:sz w:val="24"/>
          <w:szCs w:val="24"/>
          <w:lang w:val="en-GB"/>
        </w:rPr>
        <w:t>;</w:t>
      </w:r>
      <w:proofErr w:type="gramEnd"/>
    </w:p>
    <w:p w14:paraId="073F6383" w14:textId="384BE566" w:rsidR="001968E9" w:rsidRPr="00C57F89" w:rsidRDefault="00C86EE8"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Pr>
          <w:rFonts w:ascii="PermianSerifTypeface" w:hAnsi="PermianSerifTypeface" w:cs="Times New Roman"/>
          <w:sz w:val="24"/>
          <w:szCs w:val="24"/>
          <w:lang w:val="en-GB"/>
        </w:rPr>
        <w:t xml:space="preserve">to </w:t>
      </w:r>
      <w:r w:rsidRPr="00C86EE8">
        <w:rPr>
          <w:rFonts w:ascii="PermianSerifTypeface" w:hAnsi="PermianSerifTypeface" w:cs="Times New Roman"/>
          <w:sz w:val="24"/>
          <w:szCs w:val="24"/>
          <w:lang w:val="en-GB"/>
        </w:rPr>
        <w:t xml:space="preserve">request and obtain all information and documents necessary to </w:t>
      </w:r>
      <w:r w:rsidR="001D3D00">
        <w:rPr>
          <w:rFonts w:ascii="PermianSerifTypeface" w:hAnsi="PermianSerifTypeface" w:cs="Times New Roman"/>
          <w:sz w:val="24"/>
          <w:szCs w:val="24"/>
          <w:lang w:val="en-GB"/>
        </w:rPr>
        <w:t>conduct</w:t>
      </w:r>
      <w:r w:rsidRPr="00C86EE8">
        <w:rPr>
          <w:rFonts w:ascii="PermianSerifTypeface" w:hAnsi="PermianSerifTypeface" w:cs="Times New Roman"/>
          <w:sz w:val="24"/>
          <w:szCs w:val="24"/>
          <w:lang w:val="en-GB"/>
        </w:rPr>
        <w:t xml:space="preserve"> the inspection (in electronic form, on paper, originals or copies, extracts from them, confirmed by signature), including articles of incorporation, regulations and other internal documents, reports and statements, internal documents drawn up as a result of the operations </w:t>
      </w:r>
      <w:r w:rsidR="001D3D00">
        <w:rPr>
          <w:rFonts w:ascii="PermianSerifTypeface" w:hAnsi="PermianSerifTypeface" w:cs="Times New Roman"/>
          <w:sz w:val="24"/>
          <w:szCs w:val="24"/>
          <w:lang w:val="en-GB"/>
        </w:rPr>
        <w:t>conducted</w:t>
      </w:r>
      <w:r w:rsidRPr="00C86EE8">
        <w:rPr>
          <w:rFonts w:ascii="PermianSerifTypeface" w:hAnsi="PermianSerifTypeface" w:cs="Times New Roman"/>
          <w:sz w:val="24"/>
          <w:szCs w:val="24"/>
          <w:lang w:val="en-GB"/>
        </w:rPr>
        <w:t>, accounting records, external and internal business documents (contracts, certificates, minutes, requests, information notes), information and documents relating to its participants and the entities to which the activities and services of the Single Central Depository have been outsourced</w:t>
      </w:r>
      <w:r w:rsidR="00A635DC" w:rsidRPr="00C57F89">
        <w:rPr>
          <w:rFonts w:ascii="PermianSerifTypeface" w:hAnsi="PermianSerifTypeface" w:cs="Times New Roman"/>
          <w:sz w:val="24"/>
          <w:szCs w:val="24"/>
          <w:lang w:val="en-GB"/>
        </w:rPr>
        <w:t>;</w:t>
      </w:r>
    </w:p>
    <w:p w14:paraId="36916519" w14:textId="18876E9C" w:rsidR="001968E9" w:rsidRPr="00C57F89" w:rsidRDefault="00C86EE8"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86EE8">
        <w:rPr>
          <w:rFonts w:ascii="PermianSerifTypeface" w:hAnsi="PermianSerifTypeface" w:cs="Times New Roman"/>
          <w:sz w:val="24"/>
          <w:szCs w:val="24"/>
          <w:lang w:val="en-GB"/>
        </w:rPr>
        <w:lastRenderedPageBreak/>
        <w:t xml:space="preserve">to request and obtain written explanations from the persons referred to in point 20, its participants, and the entities to which the activities and services of the Single Central Depository have been outsourced, for the purpose of gathering the information necessary for </w:t>
      </w:r>
      <w:proofErr w:type="gramStart"/>
      <w:r w:rsidRPr="00C86EE8">
        <w:rPr>
          <w:rFonts w:ascii="PermianSerifTypeface" w:hAnsi="PermianSerifTypeface" w:cs="Times New Roman"/>
          <w:sz w:val="24"/>
          <w:szCs w:val="24"/>
          <w:lang w:val="en-GB"/>
        </w:rPr>
        <w:t>control</w:t>
      </w:r>
      <w:r w:rsidR="00A635DC" w:rsidRPr="00C57F89">
        <w:rPr>
          <w:rFonts w:ascii="PermianSerifTypeface" w:hAnsi="PermianSerifTypeface" w:cs="Times New Roman"/>
          <w:sz w:val="24"/>
          <w:szCs w:val="24"/>
          <w:lang w:val="en-GB"/>
        </w:rPr>
        <w:t>;</w:t>
      </w:r>
      <w:proofErr w:type="gramEnd"/>
    </w:p>
    <w:p w14:paraId="0D822F96" w14:textId="0700DCD3" w:rsidR="001968E9" w:rsidRPr="00C57F89" w:rsidRDefault="0062130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to use technical means (audio, video, photo) to certify the facts established, to use technical means belonging to the NBM or provided by the Single Central Depository, including computers, other devices, electronic data carriers, copying equipment, scanners, telephones, to bring into the premises of the Single Central Depository and remove from them technical means belonging to the NBM</w:t>
      </w:r>
      <w:r w:rsidR="00A635DC" w:rsidRPr="00C57F89">
        <w:rPr>
          <w:rFonts w:ascii="PermianSerifTypeface" w:hAnsi="PermianSerifTypeface" w:cs="Times New Roman"/>
          <w:sz w:val="24"/>
          <w:szCs w:val="24"/>
          <w:lang w:val="en-GB"/>
        </w:rPr>
        <w:t>;</w:t>
      </w:r>
    </w:p>
    <w:p w14:paraId="3508DF66" w14:textId="64AFC392" w:rsidR="001968E9" w:rsidRPr="00C57F89" w:rsidRDefault="0062130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 xml:space="preserve">to obtain access to the resources of the computer systems, electronic databases, and technical means used by the Single Central Depository for the purpose of carrying out its activities and to request a demonstration and explanation of how these systems </w:t>
      </w:r>
      <w:proofErr w:type="gramStart"/>
      <w:r w:rsidRPr="0062130F">
        <w:rPr>
          <w:rFonts w:ascii="PermianSerifTypeface" w:hAnsi="PermianSerifTypeface" w:cs="Times New Roman"/>
          <w:sz w:val="24"/>
          <w:szCs w:val="24"/>
          <w:lang w:val="en-GB"/>
        </w:rPr>
        <w:t>operate</w:t>
      </w:r>
      <w:r w:rsidR="00A635DC" w:rsidRPr="00C57F89">
        <w:rPr>
          <w:rFonts w:ascii="PermianSerifTypeface" w:hAnsi="PermianSerifTypeface" w:cs="Times New Roman"/>
          <w:sz w:val="24"/>
          <w:szCs w:val="24"/>
          <w:lang w:val="en-GB"/>
        </w:rPr>
        <w:t>;</w:t>
      </w:r>
      <w:proofErr w:type="gramEnd"/>
    </w:p>
    <w:p w14:paraId="1181BF91" w14:textId="7079DC29" w:rsidR="001968E9" w:rsidRPr="00C57F89" w:rsidRDefault="0062130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 xml:space="preserve">examine accounts, registers, records, and other documents, in written or electronic form, to verify compliance by the Single Central Depository with the regulatory </w:t>
      </w:r>
      <w:proofErr w:type="gramStart"/>
      <w:r w:rsidRPr="0062130F">
        <w:rPr>
          <w:rFonts w:ascii="PermianSerifTypeface" w:hAnsi="PermianSerifTypeface" w:cs="Times New Roman"/>
          <w:sz w:val="24"/>
          <w:szCs w:val="24"/>
          <w:lang w:val="en-GB"/>
        </w:rPr>
        <w:t>framework</w:t>
      </w:r>
      <w:r w:rsidR="007F6535" w:rsidRPr="00C57F89">
        <w:rPr>
          <w:rFonts w:ascii="PermianSerifTypeface" w:hAnsi="PermianSerifTypeface" w:cs="Times New Roman"/>
          <w:sz w:val="24"/>
          <w:szCs w:val="24"/>
          <w:lang w:val="en-GB"/>
        </w:rPr>
        <w:t>;</w:t>
      </w:r>
      <w:proofErr w:type="gramEnd"/>
    </w:p>
    <w:p w14:paraId="7FC3B64E" w14:textId="24B09D8A" w:rsidR="00A635DC" w:rsidRPr="00C57F89" w:rsidRDefault="0062130F" w:rsidP="00D777E4">
      <w:pPr>
        <w:pStyle w:val="ListParagraph"/>
        <w:numPr>
          <w:ilvl w:val="1"/>
          <w:numId w:val="19"/>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contact the external auditors of the Single Central Depository, interview any other person, with their consent, for the purpose of establishing the facts (events) and circumstances necessary in connection with the control, including for the purpose of confirming the data contained in the documents and information obtained from the Single Central Depository</w:t>
      </w:r>
      <w:r w:rsidR="00A635DC" w:rsidRPr="00C57F89">
        <w:rPr>
          <w:rFonts w:ascii="PermianSerifTypeface" w:hAnsi="PermianSerifTypeface" w:cs="Times New Roman"/>
          <w:sz w:val="24"/>
          <w:szCs w:val="24"/>
          <w:lang w:val="en-GB"/>
        </w:rPr>
        <w:t>.</w:t>
      </w:r>
    </w:p>
    <w:p w14:paraId="1235D4D6" w14:textId="08B89434" w:rsidR="00A635DC" w:rsidRPr="00C57F89" w:rsidRDefault="0062130F" w:rsidP="00D777E4">
      <w:pPr>
        <w:pStyle w:val="ListParagraph"/>
        <w:numPr>
          <w:ilvl w:val="0"/>
          <w:numId w:val="16"/>
        </w:numPr>
        <w:tabs>
          <w:tab w:val="left" w:pos="993"/>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The Single Central Depository has the following rights</w:t>
      </w:r>
      <w:r w:rsidR="00A635DC" w:rsidRPr="00C57F89">
        <w:rPr>
          <w:rFonts w:ascii="PermianSerifTypeface" w:hAnsi="PermianSerifTypeface" w:cs="Times New Roman"/>
          <w:sz w:val="24"/>
          <w:szCs w:val="24"/>
          <w:lang w:val="en-GB"/>
        </w:rPr>
        <w:t>:</w:t>
      </w:r>
    </w:p>
    <w:p w14:paraId="552E9B37" w14:textId="677E19BC" w:rsidR="001968E9" w:rsidRPr="00C57F89" w:rsidRDefault="0062130F" w:rsidP="007F6535">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 xml:space="preserve">to be informed of the </w:t>
      </w:r>
      <w:r w:rsidR="001D3D00">
        <w:rPr>
          <w:rFonts w:ascii="PermianSerifTypeface" w:hAnsi="PermianSerifTypeface" w:cs="Times New Roman"/>
          <w:sz w:val="24"/>
          <w:szCs w:val="24"/>
          <w:lang w:val="en-GB"/>
        </w:rPr>
        <w:t>initiation</w:t>
      </w:r>
      <w:r w:rsidRPr="0062130F">
        <w:rPr>
          <w:rFonts w:ascii="PermianSerifTypeface" w:hAnsi="PermianSerifTypeface" w:cs="Times New Roman"/>
          <w:sz w:val="24"/>
          <w:szCs w:val="24"/>
          <w:lang w:val="en-GB"/>
        </w:rPr>
        <w:t xml:space="preserve"> of the </w:t>
      </w:r>
      <w:proofErr w:type="gramStart"/>
      <w:r w:rsidR="001D3D00">
        <w:rPr>
          <w:rFonts w:ascii="PermianSerifTypeface" w:hAnsi="PermianSerifTypeface" w:cs="Times New Roman"/>
          <w:sz w:val="24"/>
          <w:szCs w:val="24"/>
          <w:lang w:val="en-GB"/>
        </w:rPr>
        <w:t>control</w:t>
      </w:r>
      <w:r w:rsidR="00A635DC" w:rsidRPr="00C57F89">
        <w:rPr>
          <w:rFonts w:ascii="PermianSerifTypeface" w:hAnsi="PermianSerifTypeface" w:cs="Times New Roman"/>
          <w:sz w:val="24"/>
          <w:szCs w:val="24"/>
          <w:lang w:val="en-GB"/>
        </w:rPr>
        <w:t>;</w:t>
      </w:r>
      <w:proofErr w:type="gramEnd"/>
    </w:p>
    <w:p w14:paraId="5E913414" w14:textId="2E0C87D0" w:rsidR="001968E9" w:rsidRPr="00C57F89"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62130F" w:rsidRPr="0062130F">
        <w:rPr>
          <w:rFonts w:ascii="PermianSerifTypeface" w:hAnsi="PermianSerifTypeface" w:cs="Times New Roman"/>
          <w:sz w:val="24"/>
          <w:szCs w:val="24"/>
          <w:lang w:val="en-GB"/>
        </w:rPr>
        <w:t xml:space="preserve">to provide explanations and comments on the areas subject to verification during the </w:t>
      </w:r>
      <w:proofErr w:type="gramStart"/>
      <w:r w:rsidR="001D3D00">
        <w:rPr>
          <w:rFonts w:ascii="PermianSerifTypeface" w:hAnsi="PermianSerifTypeface" w:cs="Times New Roman"/>
          <w:sz w:val="24"/>
          <w:szCs w:val="24"/>
          <w:lang w:val="en-GB"/>
        </w:rPr>
        <w:t>control</w:t>
      </w:r>
      <w:r w:rsidR="00A635DC" w:rsidRPr="00C57F89">
        <w:rPr>
          <w:rFonts w:ascii="PermianSerifTypeface" w:hAnsi="PermianSerifTypeface" w:cs="Times New Roman"/>
          <w:sz w:val="24"/>
          <w:szCs w:val="24"/>
          <w:lang w:val="en-GB"/>
        </w:rPr>
        <w:t>;</w:t>
      </w:r>
      <w:proofErr w:type="gramEnd"/>
    </w:p>
    <w:p w14:paraId="10061A06" w14:textId="0AD8F8C7" w:rsidR="001968E9" w:rsidRPr="00C57F89"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62130F" w:rsidRPr="0062130F">
        <w:rPr>
          <w:rFonts w:ascii="PermianSerifTypeface" w:hAnsi="PermianSerifTypeface" w:cs="Times New Roman"/>
          <w:sz w:val="24"/>
          <w:szCs w:val="24"/>
          <w:lang w:val="en-GB"/>
        </w:rPr>
        <w:t xml:space="preserve">be notified of the results of the </w:t>
      </w:r>
      <w:r w:rsidR="001D3D00">
        <w:rPr>
          <w:rFonts w:ascii="PermianSerifTypeface" w:hAnsi="PermianSerifTypeface" w:cs="Times New Roman"/>
          <w:sz w:val="24"/>
          <w:szCs w:val="24"/>
          <w:lang w:val="en-GB"/>
        </w:rPr>
        <w:t>control</w:t>
      </w:r>
      <w:r w:rsidR="0062130F" w:rsidRPr="0062130F">
        <w:rPr>
          <w:rFonts w:ascii="PermianSerifTypeface" w:hAnsi="PermianSerifTypeface" w:cs="Times New Roman"/>
          <w:sz w:val="24"/>
          <w:szCs w:val="24"/>
          <w:lang w:val="en-GB"/>
        </w:rPr>
        <w:t xml:space="preserve"> and the decisions of the NBM issued on the basis </w:t>
      </w:r>
      <w:proofErr w:type="gramStart"/>
      <w:r w:rsidR="0062130F" w:rsidRPr="0062130F">
        <w:rPr>
          <w:rFonts w:ascii="PermianSerifTypeface" w:hAnsi="PermianSerifTypeface" w:cs="Times New Roman"/>
          <w:sz w:val="24"/>
          <w:szCs w:val="24"/>
          <w:lang w:val="en-GB"/>
        </w:rPr>
        <w:t>thereof</w:t>
      </w:r>
      <w:r w:rsidR="00A635DC" w:rsidRPr="00C57F89">
        <w:rPr>
          <w:rFonts w:ascii="PermianSerifTypeface" w:hAnsi="PermianSerifTypeface" w:cs="Times New Roman"/>
          <w:sz w:val="24"/>
          <w:szCs w:val="24"/>
          <w:lang w:val="en-GB"/>
        </w:rPr>
        <w:t>;</w:t>
      </w:r>
      <w:proofErr w:type="gramEnd"/>
    </w:p>
    <w:p w14:paraId="2381189C" w14:textId="575C07B9" w:rsidR="001968E9" w:rsidRPr="00C57F89" w:rsidRDefault="00464988"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62130F" w:rsidRPr="0062130F">
        <w:rPr>
          <w:rFonts w:ascii="PermianSerifTypeface" w:hAnsi="PermianSerifTypeface" w:cs="Times New Roman"/>
          <w:sz w:val="24"/>
          <w:szCs w:val="24"/>
          <w:lang w:val="en-GB"/>
        </w:rPr>
        <w:t xml:space="preserve">to submit objections and explanations regarding the preliminary act on the results of the </w:t>
      </w:r>
      <w:proofErr w:type="gramStart"/>
      <w:r w:rsidR="001D3D00">
        <w:rPr>
          <w:rFonts w:ascii="PermianSerifTypeface" w:hAnsi="PermianSerifTypeface" w:cs="Times New Roman"/>
          <w:sz w:val="24"/>
          <w:szCs w:val="24"/>
          <w:lang w:val="en-GB"/>
        </w:rPr>
        <w:t>control</w:t>
      </w:r>
      <w:r w:rsidR="00A635DC" w:rsidRPr="00C57F89">
        <w:rPr>
          <w:rFonts w:ascii="PermianSerifTypeface" w:hAnsi="PermianSerifTypeface" w:cs="Times New Roman"/>
          <w:sz w:val="24"/>
          <w:szCs w:val="24"/>
          <w:lang w:val="en-GB"/>
        </w:rPr>
        <w:t>;</w:t>
      </w:r>
      <w:proofErr w:type="gramEnd"/>
    </w:p>
    <w:p w14:paraId="70D44E45" w14:textId="59C22E9D" w:rsidR="00A635DC" w:rsidRPr="00C57F89" w:rsidRDefault="001968E9" w:rsidP="0021039E">
      <w:pPr>
        <w:pStyle w:val="ListParagraph"/>
        <w:numPr>
          <w:ilvl w:val="1"/>
          <w:numId w:val="20"/>
        </w:numPr>
        <w:tabs>
          <w:tab w:val="left" w:pos="1134"/>
        </w:tabs>
        <w:spacing w:after="0" w:line="276" w:lineRule="auto"/>
        <w:ind w:left="0" w:firstLine="567"/>
        <w:contextualSpacing w:val="0"/>
        <w:jc w:val="both"/>
        <w:rPr>
          <w:rFonts w:ascii="PermianSerifTypeface" w:hAnsi="PermianSerifTypeface" w:cs="Times New Roman"/>
          <w:sz w:val="24"/>
          <w:szCs w:val="24"/>
          <w:lang w:val="en-GB"/>
        </w:rPr>
      </w:pPr>
      <w:r w:rsidRPr="00C57F89">
        <w:rPr>
          <w:rFonts w:ascii="PermianSerifTypeface" w:hAnsi="PermianSerifTypeface" w:cs="Times New Roman"/>
          <w:sz w:val="24"/>
          <w:szCs w:val="24"/>
          <w:lang w:val="en-GB"/>
        </w:rPr>
        <w:t xml:space="preserve"> </w:t>
      </w:r>
      <w:r w:rsidR="0062130F" w:rsidRPr="0062130F">
        <w:rPr>
          <w:rFonts w:ascii="PermianSerifTypeface" w:hAnsi="PermianSerifTypeface" w:cs="Times New Roman"/>
          <w:sz w:val="24"/>
          <w:szCs w:val="24"/>
          <w:lang w:val="en-GB"/>
        </w:rPr>
        <w:t xml:space="preserve">circumstances relevant to the </w:t>
      </w:r>
      <w:r w:rsidR="00CF5317" w:rsidRPr="0062130F">
        <w:rPr>
          <w:rFonts w:ascii="PermianSerifTypeface" w:hAnsi="PermianSerifTypeface" w:cs="Times New Roman"/>
          <w:sz w:val="24"/>
          <w:szCs w:val="24"/>
          <w:lang w:val="en-GB"/>
        </w:rPr>
        <w:t>unfavourable</w:t>
      </w:r>
      <w:r w:rsidR="0062130F" w:rsidRPr="0062130F">
        <w:rPr>
          <w:rFonts w:ascii="PermianSerifTypeface" w:hAnsi="PermianSerifTypeface" w:cs="Times New Roman"/>
          <w:sz w:val="24"/>
          <w:szCs w:val="24"/>
          <w:lang w:val="en-GB"/>
        </w:rPr>
        <w:t xml:space="preserve"> decision to be issued </w:t>
      </w:r>
      <w:proofErr w:type="gramStart"/>
      <w:r w:rsidR="0062130F" w:rsidRPr="0062130F">
        <w:rPr>
          <w:rFonts w:ascii="PermianSerifTypeface" w:hAnsi="PermianSerifTypeface" w:cs="Times New Roman"/>
          <w:sz w:val="24"/>
          <w:szCs w:val="24"/>
          <w:lang w:val="en-GB"/>
        </w:rPr>
        <w:t>on the basis of</w:t>
      </w:r>
      <w:proofErr w:type="gramEnd"/>
      <w:r w:rsidR="0062130F" w:rsidRPr="0062130F">
        <w:rPr>
          <w:rFonts w:ascii="PermianSerifTypeface" w:hAnsi="PermianSerifTypeface" w:cs="Times New Roman"/>
          <w:sz w:val="24"/>
          <w:szCs w:val="24"/>
          <w:lang w:val="en-GB"/>
        </w:rPr>
        <w:t xml:space="preserve"> the results of the </w:t>
      </w:r>
      <w:r w:rsidR="001D3D00">
        <w:rPr>
          <w:rFonts w:ascii="PermianSerifTypeface" w:hAnsi="PermianSerifTypeface" w:cs="Times New Roman"/>
          <w:sz w:val="24"/>
          <w:szCs w:val="24"/>
          <w:lang w:val="en-GB"/>
        </w:rPr>
        <w:t>control</w:t>
      </w:r>
      <w:r w:rsidR="0062130F" w:rsidRPr="0062130F">
        <w:rPr>
          <w:rFonts w:ascii="PermianSerifTypeface" w:hAnsi="PermianSerifTypeface" w:cs="Times New Roman"/>
          <w:sz w:val="24"/>
          <w:szCs w:val="24"/>
          <w:lang w:val="en-GB"/>
        </w:rPr>
        <w:t xml:space="preserve"> and to present their opinion in this regard (written hearing</w:t>
      </w:r>
      <w:r w:rsidR="00A635DC" w:rsidRPr="00C57F89">
        <w:rPr>
          <w:rFonts w:ascii="PermianSerifTypeface" w:hAnsi="PermianSerifTypeface" w:cs="Times New Roman"/>
          <w:sz w:val="24"/>
          <w:szCs w:val="24"/>
          <w:lang w:val="en-GB"/>
        </w:rPr>
        <w:t xml:space="preserve">). </w:t>
      </w:r>
    </w:p>
    <w:p w14:paraId="67E10983" w14:textId="3C9BD52B" w:rsidR="00BB0C49" w:rsidRPr="00C57F89" w:rsidRDefault="0062130F"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lang w:val="en-GB"/>
        </w:rPr>
      </w:pPr>
      <w:r w:rsidRPr="0062130F">
        <w:rPr>
          <w:rFonts w:ascii="PermianSerifTypeface" w:hAnsi="PermianSerifTypeface" w:cs="Times New Roman"/>
          <w:sz w:val="24"/>
          <w:szCs w:val="24"/>
          <w:lang w:val="en-GB"/>
        </w:rPr>
        <w:t xml:space="preserve">The persons referred to in point 20 shall not have the right to personally examine the inspectors, the technical means, including telephones, electronic data carriers in their possession, to seize these means or to prevent the inspectors from using these means when carrying out the </w:t>
      </w:r>
      <w:r w:rsidR="001D3D00">
        <w:rPr>
          <w:rFonts w:ascii="PermianSerifTypeface" w:hAnsi="PermianSerifTypeface" w:cs="Times New Roman"/>
          <w:sz w:val="24"/>
          <w:szCs w:val="24"/>
          <w:lang w:val="en-GB"/>
        </w:rPr>
        <w:t>control</w:t>
      </w:r>
      <w:r w:rsidR="006D2C45" w:rsidRPr="00C57F89">
        <w:rPr>
          <w:rFonts w:ascii="PermianSerifTypeface" w:hAnsi="PermianSerifTypeface" w:cs="Times New Roman"/>
          <w:sz w:val="24"/>
          <w:szCs w:val="24"/>
          <w:lang w:val="en-GB"/>
        </w:rPr>
        <w:t>.</w:t>
      </w:r>
    </w:p>
    <w:p w14:paraId="09A4B9FB" w14:textId="34CC4C33" w:rsidR="00905564" w:rsidRPr="00C57F89" w:rsidRDefault="00CF5317"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lang w:val="en-GB"/>
        </w:rPr>
      </w:pPr>
      <w:r w:rsidRPr="00CF5317">
        <w:rPr>
          <w:rFonts w:ascii="PermianSerifTypeface" w:hAnsi="PermianSerifTypeface" w:cs="Times New Roman"/>
          <w:sz w:val="24"/>
          <w:szCs w:val="24"/>
          <w:lang w:val="en-GB"/>
        </w:rPr>
        <w:t>In the case of an on-site inspection, the documents and information requested by the inspectors shall be submitted in the manner and within the time limits specified by them</w:t>
      </w:r>
      <w:r w:rsidR="00BB0C49" w:rsidRPr="00C57F89">
        <w:rPr>
          <w:rFonts w:ascii="PermianSerifTypeface" w:hAnsi="PermianSerifTypeface" w:cs="Times New Roman"/>
          <w:sz w:val="24"/>
          <w:szCs w:val="24"/>
          <w:lang w:val="en-GB"/>
        </w:rPr>
        <w:t xml:space="preserve">. </w:t>
      </w:r>
    </w:p>
    <w:p w14:paraId="3AB72FEC" w14:textId="7F046DF9" w:rsidR="00CD5979" w:rsidRPr="00C57F89" w:rsidRDefault="00CF5317"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lang w:val="en-GB"/>
        </w:rPr>
      </w:pPr>
      <w:r w:rsidRPr="00CF5317">
        <w:rPr>
          <w:rFonts w:ascii="PermianSerifTypeface" w:hAnsi="PermianSerifTypeface" w:cs="Times New Roman"/>
          <w:color w:val="000000"/>
          <w:sz w:val="24"/>
          <w:szCs w:val="24"/>
          <w:lang w:val="en-GB"/>
        </w:rPr>
        <w:t xml:space="preserve">As a result of the control procedure being carried out, including in cases where the exercise of the supervision and control authority is hindered, a report on </w:t>
      </w:r>
      <w:r w:rsidRPr="00CF5317">
        <w:rPr>
          <w:rFonts w:ascii="PermianSerifTypeface" w:hAnsi="PermianSerifTypeface" w:cs="Times New Roman"/>
          <w:color w:val="000000"/>
          <w:sz w:val="24"/>
          <w:szCs w:val="24"/>
          <w:lang w:val="en-GB"/>
        </w:rPr>
        <w:lastRenderedPageBreak/>
        <w:t xml:space="preserve">the control findings is drafted in accordance with the provisions of Article 751, paragraph (7) of Law </w:t>
      </w:r>
      <w:r>
        <w:rPr>
          <w:rFonts w:ascii="PermianSerifTypeface" w:hAnsi="PermianSerifTypeface" w:cs="Times New Roman"/>
          <w:color w:val="000000"/>
          <w:sz w:val="24"/>
          <w:szCs w:val="24"/>
          <w:lang w:val="en-GB"/>
        </w:rPr>
        <w:t>N</w:t>
      </w:r>
      <w:r w:rsidRPr="00CF5317">
        <w:rPr>
          <w:rFonts w:ascii="PermianSerifTypeface" w:hAnsi="PermianSerifTypeface" w:cs="Times New Roman"/>
          <w:color w:val="000000"/>
          <w:sz w:val="24"/>
          <w:szCs w:val="24"/>
          <w:lang w:val="en-GB"/>
        </w:rPr>
        <w:t>o 548/1995 and the provisions of Section 4</w:t>
      </w:r>
      <w:r w:rsidR="00BB0C49" w:rsidRPr="00C57F89">
        <w:rPr>
          <w:rFonts w:ascii="PermianSerifTypeface" w:hAnsi="PermianSerifTypeface" w:cs="Times New Roman"/>
          <w:color w:val="000000"/>
          <w:sz w:val="24"/>
          <w:szCs w:val="24"/>
          <w:lang w:val="en-GB"/>
        </w:rPr>
        <w:t>.</w:t>
      </w:r>
    </w:p>
    <w:p w14:paraId="1AF9AACE" w14:textId="0EA720A7" w:rsidR="00BB0C49" w:rsidRPr="00C57F89" w:rsidRDefault="00CF5317" w:rsidP="00D777E4">
      <w:pPr>
        <w:pStyle w:val="ListParagraph"/>
        <w:numPr>
          <w:ilvl w:val="0"/>
          <w:numId w:val="16"/>
        </w:numPr>
        <w:tabs>
          <w:tab w:val="left" w:pos="993"/>
        </w:tabs>
        <w:spacing w:line="276" w:lineRule="auto"/>
        <w:ind w:left="0" w:firstLine="567"/>
        <w:jc w:val="both"/>
        <w:rPr>
          <w:rFonts w:ascii="PermianSerifTypeface" w:hAnsi="PermianSerifTypeface" w:cs="Times New Roman"/>
          <w:sz w:val="24"/>
          <w:szCs w:val="24"/>
          <w:lang w:val="en-GB"/>
        </w:rPr>
      </w:pPr>
      <w:r>
        <w:rPr>
          <w:rFonts w:ascii="PermianSerifTypeface" w:hAnsi="PermianSerifTypeface" w:cs="Times New Roman"/>
          <w:color w:val="000000"/>
          <w:sz w:val="24"/>
          <w:szCs w:val="24"/>
          <w:lang w:val="en-GB"/>
        </w:rPr>
        <w:t>T</w:t>
      </w:r>
      <w:r w:rsidRPr="00CF5317">
        <w:rPr>
          <w:rFonts w:ascii="PermianSerifTypeface" w:hAnsi="PermianSerifTypeface" w:cs="Times New Roman"/>
          <w:color w:val="000000"/>
          <w:sz w:val="24"/>
          <w:szCs w:val="24"/>
          <w:lang w:val="en-GB"/>
        </w:rPr>
        <w:t xml:space="preserve">he control procedure is concluded within the time frame specified in Article 751, paragraph (11) or paragraph (13) of Law </w:t>
      </w:r>
      <w:r>
        <w:rPr>
          <w:rFonts w:ascii="PermianSerifTypeface" w:hAnsi="PermianSerifTypeface" w:cs="Times New Roman"/>
          <w:color w:val="000000"/>
          <w:sz w:val="24"/>
          <w:szCs w:val="24"/>
          <w:lang w:val="en-GB"/>
        </w:rPr>
        <w:t>N</w:t>
      </w:r>
      <w:r w:rsidRPr="00CF5317">
        <w:rPr>
          <w:rFonts w:ascii="PermianSerifTypeface" w:hAnsi="PermianSerifTypeface" w:cs="Times New Roman"/>
          <w:color w:val="000000"/>
          <w:sz w:val="24"/>
          <w:szCs w:val="24"/>
          <w:lang w:val="en-GB"/>
        </w:rPr>
        <w:t>o 548/1995, as applicable</w:t>
      </w:r>
      <w:r w:rsidR="00BB0C49" w:rsidRPr="00C57F89">
        <w:rPr>
          <w:rFonts w:ascii="PermianSerifTypeface" w:hAnsi="PermianSerifTypeface" w:cs="Times New Roman"/>
          <w:sz w:val="24"/>
          <w:szCs w:val="24"/>
          <w:lang w:val="en-GB"/>
        </w:rPr>
        <w:t>.</w:t>
      </w:r>
      <w:r w:rsidR="00BB0C49" w:rsidRPr="00C57F89">
        <w:rPr>
          <w:rFonts w:ascii="PermianSerifTypeface" w:hAnsi="PermianSerifTypeface" w:cs="Times New Roman"/>
          <w:color w:val="000000"/>
          <w:sz w:val="24"/>
          <w:szCs w:val="24"/>
          <w:lang w:val="en-GB"/>
        </w:rPr>
        <w:t xml:space="preserve"> </w:t>
      </w:r>
    </w:p>
    <w:p w14:paraId="771A6F48" w14:textId="5F636E62" w:rsidR="00BB0C49" w:rsidRPr="00C57F89" w:rsidRDefault="00CF5317" w:rsidP="00D777E4">
      <w:pPr>
        <w:tabs>
          <w:tab w:val="left" w:pos="1134"/>
        </w:tabs>
        <w:spacing w:after="0" w:line="276" w:lineRule="auto"/>
        <w:jc w:val="center"/>
        <w:rPr>
          <w:rFonts w:ascii="PermianSerifTypeface" w:hAnsi="PermianSerifTypeface" w:cs="Times New Roman"/>
          <w:b/>
          <w:sz w:val="24"/>
          <w:szCs w:val="24"/>
          <w:lang w:val="en-GB"/>
        </w:rPr>
      </w:pPr>
      <w:r>
        <w:rPr>
          <w:rFonts w:ascii="PermianSerifTypeface" w:hAnsi="PermianSerifTypeface" w:cs="Times New Roman"/>
          <w:b/>
          <w:sz w:val="24"/>
          <w:szCs w:val="24"/>
          <w:lang w:val="en-GB"/>
        </w:rPr>
        <w:t>Section</w:t>
      </w:r>
      <w:r w:rsidR="00C434F1" w:rsidRPr="00C57F89">
        <w:rPr>
          <w:rFonts w:ascii="PermianSerifTypeface" w:hAnsi="PermianSerifTypeface" w:cs="Times New Roman"/>
          <w:b/>
          <w:sz w:val="24"/>
          <w:szCs w:val="24"/>
          <w:lang w:val="en-GB"/>
        </w:rPr>
        <w:t xml:space="preserve"> </w:t>
      </w:r>
      <w:r w:rsidR="0021039E" w:rsidRPr="00C57F89">
        <w:rPr>
          <w:rFonts w:ascii="PermianSerifTypeface" w:hAnsi="PermianSerifTypeface" w:cs="Times New Roman"/>
          <w:b/>
          <w:sz w:val="24"/>
          <w:szCs w:val="24"/>
          <w:lang w:val="en-GB"/>
        </w:rPr>
        <w:t>4</w:t>
      </w:r>
    </w:p>
    <w:p w14:paraId="4C2C242D" w14:textId="7C00274E" w:rsidR="00BB0C49" w:rsidRPr="00C57F89" w:rsidRDefault="00CF5317" w:rsidP="00D777E4">
      <w:pPr>
        <w:tabs>
          <w:tab w:val="left" w:pos="1134"/>
        </w:tabs>
        <w:spacing w:after="0" w:line="276" w:lineRule="auto"/>
        <w:jc w:val="center"/>
        <w:rPr>
          <w:rFonts w:ascii="PermianSerifTypeface" w:hAnsi="PermianSerifTypeface" w:cs="Times New Roman"/>
          <w:sz w:val="24"/>
          <w:szCs w:val="24"/>
          <w:lang w:val="en-GB"/>
        </w:rPr>
      </w:pPr>
      <w:r w:rsidRPr="00CF5317">
        <w:rPr>
          <w:rFonts w:ascii="PermianSerifTypeface" w:hAnsi="PermianSerifTypeface" w:cs="Times New Roman"/>
          <w:b/>
          <w:sz w:val="24"/>
          <w:szCs w:val="24"/>
          <w:lang w:val="en-GB"/>
        </w:rPr>
        <w:t>DRAFTING OF THE REPORT ON THE CONTROL FINDINGS</w:t>
      </w:r>
    </w:p>
    <w:p w14:paraId="4D308500" w14:textId="532686F0" w:rsidR="00C452AC" w:rsidRPr="00C57F89" w:rsidRDefault="00CF5317" w:rsidP="00D777E4">
      <w:pPr>
        <w:pStyle w:val="ListParagraph"/>
        <w:numPr>
          <w:ilvl w:val="1"/>
          <w:numId w:val="2"/>
        </w:numPr>
        <w:tabs>
          <w:tab w:val="left" w:pos="142"/>
          <w:tab w:val="left" w:pos="993"/>
        </w:tabs>
        <w:spacing w:after="120" w:line="276" w:lineRule="auto"/>
        <w:ind w:left="0" w:firstLine="567"/>
        <w:jc w:val="both"/>
        <w:rPr>
          <w:rFonts w:ascii="PermianSerifTypeface" w:hAnsi="PermianSerifTypeface" w:cs="Times New Roman"/>
          <w:sz w:val="24"/>
          <w:szCs w:val="24"/>
          <w:lang w:val="en-GB"/>
        </w:rPr>
      </w:pPr>
      <w:r w:rsidRPr="00CF5317">
        <w:rPr>
          <w:rFonts w:ascii="PermianSerifTypeface" w:hAnsi="PermianSerifTypeface" w:cs="Times New Roman"/>
          <w:sz w:val="24"/>
          <w:szCs w:val="24"/>
          <w:lang w:val="en-GB"/>
        </w:rPr>
        <w:t xml:space="preserve">The act on the results of the </w:t>
      </w:r>
      <w:r w:rsidR="00F36C74">
        <w:rPr>
          <w:rFonts w:ascii="PermianSerifTypeface" w:hAnsi="PermianSerifTypeface" w:cs="Times New Roman"/>
          <w:sz w:val="24"/>
          <w:szCs w:val="24"/>
          <w:lang w:val="en-GB"/>
        </w:rPr>
        <w:t>control</w:t>
      </w:r>
      <w:r w:rsidRPr="00CF5317">
        <w:rPr>
          <w:rFonts w:ascii="PermianSerifTypeface" w:hAnsi="PermianSerifTypeface" w:cs="Times New Roman"/>
          <w:sz w:val="24"/>
          <w:szCs w:val="24"/>
          <w:lang w:val="en-GB"/>
        </w:rPr>
        <w:t xml:space="preserve">, including the preliminary act, shall contain at least the following information: the date and number of the decision to conduct the </w:t>
      </w:r>
      <w:r w:rsidR="00F36C74">
        <w:rPr>
          <w:rFonts w:ascii="PermianSerifTypeface" w:hAnsi="PermianSerifTypeface" w:cs="Times New Roman"/>
          <w:sz w:val="24"/>
          <w:szCs w:val="24"/>
          <w:lang w:val="en-GB"/>
        </w:rPr>
        <w:t>control</w:t>
      </w:r>
      <w:r w:rsidRPr="00CF5317">
        <w:rPr>
          <w:rFonts w:ascii="PermianSerifTypeface" w:hAnsi="PermianSerifTypeface" w:cs="Times New Roman"/>
          <w:sz w:val="24"/>
          <w:szCs w:val="24"/>
          <w:lang w:val="en-GB"/>
        </w:rPr>
        <w:t xml:space="preserve">; the period of activity subject to </w:t>
      </w:r>
      <w:r w:rsidR="00F36C74">
        <w:rPr>
          <w:rFonts w:ascii="PermianSerifTypeface" w:hAnsi="PermianSerifTypeface" w:cs="Times New Roman"/>
          <w:sz w:val="24"/>
          <w:szCs w:val="24"/>
          <w:lang w:val="en-GB"/>
        </w:rPr>
        <w:t>control</w:t>
      </w:r>
      <w:r w:rsidRPr="00CF5317">
        <w:rPr>
          <w:rFonts w:ascii="PermianSerifTypeface" w:hAnsi="PermianSerifTypeface" w:cs="Times New Roman"/>
          <w:sz w:val="24"/>
          <w:szCs w:val="24"/>
          <w:lang w:val="en-GB"/>
        </w:rPr>
        <w:t xml:space="preserve">; the date of </w:t>
      </w:r>
      <w:r w:rsidR="00F36C74">
        <w:rPr>
          <w:rFonts w:ascii="PermianSerifTypeface" w:hAnsi="PermianSerifTypeface" w:cs="Times New Roman"/>
          <w:sz w:val="24"/>
          <w:szCs w:val="24"/>
          <w:lang w:val="en-GB"/>
        </w:rPr>
        <w:t>initiation</w:t>
      </w:r>
      <w:r w:rsidRPr="00CF5317">
        <w:rPr>
          <w:rFonts w:ascii="PermianSerifTypeface" w:hAnsi="PermianSerifTypeface" w:cs="Times New Roman"/>
          <w:sz w:val="24"/>
          <w:szCs w:val="24"/>
          <w:lang w:val="en-GB"/>
        </w:rPr>
        <w:t xml:space="preserve"> of the </w:t>
      </w:r>
      <w:r w:rsidR="00F36C74">
        <w:rPr>
          <w:rFonts w:ascii="PermianSerifTypeface" w:hAnsi="PermianSerifTypeface" w:cs="Times New Roman"/>
          <w:sz w:val="24"/>
          <w:szCs w:val="24"/>
          <w:lang w:val="en-GB"/>
        </w:rPr>
        <w:t>control</w:t>
      </w:r>
      <w:r w:rsidRPr="00CF5317">
        <w:rPr>
          <w:rFonts w:ascii="PermianSerifTypeface" w:hAnsi="PermianSerifTypeface" w:cs="Times New Roman"/>
          <w:sz w:val="24"/>
          <w:szCs w:val="24"/>
          <w:lang w:val="en-GB"/>
        </w:rPr>
        <w:t xml:space="preserve">; information on the results of the </w:t>
      </w:r>
      <w:r w:rsidR="00F36C74">
        <w:rPr>
          <w:rFonts w:ascii="PermianSerifTypeface" w:hAnsi="PermianSerifTypeface" w:cs="Times New Roman"/>
          <w:sz w:val="24"/>
          <w:szCs w:val="24"/>
          <w:lang w:val="en-GB"/>
        </w:rPr>
        <w:t>control</w:t>
      </w:r>
      <w:r w:rsidRPr="00CF5317">
        <w:rPr>
          <w:rFonts w:ascii="PermianSerifTypeface" w:hAnsi="PermianSerifTypeface" w:cs="Times New Roman"/>
          <w:sz w:val="24"/>
          <w:szCs w:val="24"/>
          <w:lang w:val="en-GB"/>
        </w:rPr>
        <w:t xml:space="preserve">; the names, surnames, and signatures of the NBM inspectors who conducted the </w:t>
      </w:r>
      <w:r w:rsidR="00F36C74">
        <w:rPr>
          <w:rFonts w:ascii="PermianSerifTypeface" w:hAnsi="PermianSerifTypeface" w:cs="Times New Roman"/>
          <w:sz w:val="24"/>
          <w:szCs w:val="24"/>
          <w:lang w:val="en-GB"/>
        </w:rPr>
        <w:t>control</w:t>
      </w:r>
      <w:r w:rsidR="00BB0C49" w:rsidRPr="00C57F89">
        <w:rPr>
          <w:rFonts w:ascii="PermianSerifTypeface" w:hAnsi="PermianSerifTypeface" w:cs="Times New Roman"/>
          <w:sz w:val="24"/>
          <w:szCs w:val="24"/>
          <w:lang w:val="en-GB"/>
        </w:rPr>
        <w:t>.</w:t>
      </w:r>
      <w:bookmarkStart w:id="1" w:name="_Hlk175011443"/>
    </w:p>
    <w:p w14:paraId="1CD5E9E7" w14:textId="787E3C4F" w:rsidR="00BB0C49" w:rsidRPr="00C57F89" w:rsidRDefault="008E7A3B" w:rsidP="00D777E4">
      <w:pPr>
        <w:pStyle w:val="ListParagraph"/>
        <w:numPr>
          <w:ilvl w:val="1"/>
          <w:numId w:val="2"/>
        </w:numPr>
        <w:tabs>
          <w:tab w:val="left" w:pos="142"/>
          <w:tab w:val="left" w:pos="851"/>
          <w:tab w:val="left" w:pos="993"/>
        </w:tabs>
        <w:spacing w:after="0" w:line="276" w:lineRule="auto"/>
        <w:ind w:left="0" w:firstLine="567"/>
        <w:jc w:val="both"/>
        <w:rPr>
          <w:rFonts w:ascii="PermianSerifTypeface" w:hAnsi="PermianSerifTypeface" w:cs="Times New Roman"/>
          <w:sz w:val="24"/>
          <w:szCs w:val="24"/>
          <w:lang w:val="en-GB"/>
        </w:rPr>
      </w:pPr>
      <w:r w:rsidRPr="008E7A3B">
        <w:rPr>
          <w:rFonts w:ascii="PermianSerifTypeface" w:hAnsi="PermianSerifTypeface" w:cs="Times New Roman"/>
          <w:sz w:val="24"/>
          <w:szCs w:val="24"/>
          <w:lang w:val="en-GB"/>
        </w:rPr>
        <w:t xml:space="preserve">The results of the </w:t>
      </w:r>
      <w:r w:rsidR="00F36C74">
        <w:rPr>
          <w:rFonts w:ascii="PermianSerifTypeface" w:hAnsi="PermianSerifTypeface" w:cs="Times New Roman"/>
          <w:sz w:val="24"/>
          <w:szCs w:val="24"/>
          <w:lang w:val="en-GB"/>
        </w:rPr>
        <w:t>control</w:t>
      </w:r>
      <w:r w:rsidRPr="008E7A3B">
        <w:rPr>
          <w:rFonts w:ascii="PermianSerifTypeface" w:hAnsi="PermianSerifTypeface" w:cs="Times New Roman"/>
          <w:sz w:val="24"/>
          <w:szCs w:val="24"/>
          <w:lang w:val="en-GB"/>
        </w:rPr>
        <w:t xml:space="preserve"> reflect (without being limited to) the aspects subject to verification; the general conclusions (assessment of the overall situation based on the violations found); the aspects found (both those that constitute violations within the meaning of Law No 234/2016 and the normative acts issued in their application, Law No 1134/1997, Law No 183/2016, as well as those that do not constitute violations but which have or may have an impact on the activity of the Single Central Depository), set out on the basis of</w:t>
      </w:r>
      <w:r w:rsidR="00BB0C49" w:rsidRPr="00C57F89">
        <w:rPr>
          <w:rFonts w:ascii="PermianSerifTypeface" w:hAnsi="PermianSerifTypeface" w:cs="Times New Roman"/>
          <w:sz w:val="24"/>
          <w:szCs w:val="24"/>
          <w:lang w:val="en-GB"/>
        </w:rPr>
        <w:t xml:space="preserve">: </w:t>
      </w:r>
    </w:p>
    <w:p w14:paraId="1F2F1866" w14:textId="316095F8" w:rsidR="001508A5" w:rsidRPr="00C57F89" w:rsidRDefault="008E7A3B" w:rsidP="00D777E4">
      <w:pPr>
        <w:pStyle w:val="ListParagraph"/>
        <w:numPr>
          <w:ilvl w:val="1"/>
          <w:numId w:val="21"/>
        </w:numPr>
        <w:tabs>
          <w:tab w:val="left" w:pos="851"/>
          <w:tab w:val="left" w:pos="1134"/>
        </w:tabs>
        <w:spacing w:after="0" w:line="276" w:lineRule="auto"/>
        <w:ind w:left="0" w:firstLine="567"/>
        <w:jc w:val="both"/>
        <w:rPr>
          <w:rStyle w:val="CommentReference"/>
          <w:rFonts w:ascii="PermianSerifTypeface" w:hAnsi="PermianSerifTypeface" w:cs="Times New Roman"/>
          <w:sz w:val="24"/>
          <w:szCs w:val="24"/>
          <w:lang w:val="en-GB"/>
        </w:rPr>
      </w:pPr>
      <w:r w:rsidRPr="008E7A3B">
        <w:rPr>
          <w:rFonts w:ascii="PermianSerifTypeface" w:hAnsi="PermianSerifTypeface" w:cs="Times New Roman"/>
          <w:sz w:val="24"/>
          <w:szCs w:val="24"/>
          <w:lang w:val="en-GB"/>
        </w:rPr>
        <w:t xml:space="preserve">analysis of information, documents, explanations received during the </w:t>
      </w:r>
      <w:r w:rsidR="00F36C74">
        <w:rPr>
          <w:rFonts w:ascii="PermianSerifTypeface" w:hAnsi="PermianSerifTypeface" w:cs="Times New Roman"/>
          <w:sz w:val="24"/>
          <w:szCs w:val="24"/>
          <w:lang w:val="en-GB"/>
        </w:rPr>
        <w:t>control</w:t>
      </w:r>
      <w:r w:rsidRPr="008E7A3B">
        <w:rPr>
          <w:rFonts w:ascii="PermianSerifTypeface" w:hAnsi="PermianSerifTypeface" w:cs="Times New Roman"/>
          <w:sz w:val="24"/>
          <w:szCs w:val="24"/>
          <w:lang w:val="en-GB"/>
        </w:rPr>
        <w:t xml:space="preserve">, including those obtained by the NBM from public authorities and other persons, in the context of performing its supervisory </w:t>
      </w:r>
      <w:proofErr w:type="gramStart"/>
      <w:r w:rsidRPr="008E7A3B">
        <w:rPr>
          <w:rFonts w:ascii="PermianSerifTypeface" w:hAnsi="PermianSerifTypeface" w:cs="Times New Roman"/>
          <w:sz w:val="24"/>
          <w:szCs w:val="24"/>
          <w:lang w:val="en-GB"/>
        </w:rPr>
        <w:t>duties</w:t>
      </w:r>
      <w:r w:rsidR="00BB0C49" w:rsidRPr="00C57F89">
        <w:rPr>
          <w:rStyle w:val="CommentReference"/>
          <w:rFonts w:ascii="PermianSerifTypeface" w:hAnsi="PermianSerifTypeface" w:cs="Times New Roman"/>
          <w:sz w:val="24"/>
          <w:szCs w:val="24"/>
          <w:lang w:val="en-GB"/>
        </w:rPr>
        <w:t>;</w:t>
      </w:r>
      <w:proofErr w:type="gramEnd"/>
    </w:p>
    <w:p w14:paraId="1313DE71" w14:textId="757ABDF7" w:rsidR="00B83170" w:rsidRPr="00C57F89" w:rsidRDefault="008E7A3B" w:rsidP="00D777E4">
      <w:pPr>
        <w:pStyle w:val="ListParagraph"/>
        <w:numPr>
          <w:ilvl w:val="1"/>
          <w:numId w:val="21"/>
        </w:numPr>
        <w:tabs>
          <w:tab w:val="left" w:pos="851"/>
          <w:tab w:val="left" w:pos="1134"/>
          <w:tab w:val="left" w:pos="1276"/>
        </w:tabs>
        <w:spacing w:after="0" w:line="276" w:lineRule="auto"/>
        <w:ind w:left="0" w:firstLine="567"/>
        <w:jc w:val="both"/>
        <w:rPr>
          <w:rFonts w:ascii="PermianSerifTypeface" w:hAnsi="PermianSerifTypeface" w:cs="Times New Roman"/>
          <w:sz w:val="24"/>
          <w:szCs w:val="24"/>
          <w:lang w:val="en-GB"/>
        </w:rPr>
      </w:pPr>
      <w:r w:rsidRPr="008E7A3B">
        <w:rPr>
          <w:rStyle w:val="CommentReference"/>
          <w:rFonts w:ascii="PermianSerifTypeface" w:hAnsi="PermianSerifTypeface" w:cs="Times New Roman"/>
          <w:sz w:val="24"/>
          <w:szCs w:val="24"/>
          <w:lang w:val="en-GB"/>
        </w:rPr>
        <w:t>facts and circumstances, including inaction relating</w:t>
      </w:r>
      <w:proofErr w:type="gramStart"/>
      <w:r w:rsidRPr="008E7A3B">
        <w:rPr>
          <w:rStyle w:val="CommentReference"/>
          <w:rFonts w:ascii="PermianSerifTypeface" w:hAnsi="PermianSerifTypeface" w:cs="Times New Roman"/>
          <w:sz w:val="24"/>
          <w:szCs w:val="24"/>
          <w:lang w:val="en-GB"/>
        </w:rPr>
        <w:t>, as the case may be, to</w:t>
      </w:r>
      <w:proofErr w:type="gramEnd"/>
      <w:r w:rsidRPr="008E7A3B">
        <w:rPr>
          <w:rStyle w:val="CommentReference"/>
          <w:rFonts w:ascii="PermianSerifTypeface" w:hAnsi="PermianSerifTypeface" w:cs="Times New Roman"/>
          <w:sz w:val="24"/>
          <w:szCs w:val="24"/>
          <w:lang w:val="en-GB"/>
        </w:rPr>
        <w:t xml:space="preserve"> the Single Central Depository, its governing bodies, members of governing bodies, persons holding positions of responsibility, and its shareholders</w:t>
      </w:r>
      <w:r w:rsidR="0086017C" w:rsidRPr="00C57F89">
        <w:rPr>
          <w:rFonts w:ascii="PermianSerifTypeface" w:hAnsi="PermianSerifTypeface" w:cs="Times New Roman"/>
          <w:sz w:val="24"/>
          <w:szCs w:val="24"/>
          <w:lang w:val="en-GB"/>
        </w:rPr>
        <w:t>.</w:t>
      </w:r>
    </w:p>
    <w:p w14:paraId="4759B5E6" w14:textId="54936F90" w:rsidR="00C12A16" w:rsidRPr="00C57F89" w:rsidRDefault="001508A5" w:rsidP="00D777E4">
      <w:pPr>
        <w:tabs>
          <w:tab w:val="left" w:pos="851"/>
          <w:tab w:val="left" w:pos="1134"/>
        </w:tabs>
        <w:spacing w:after="0" w:line="276" w:lineRule="auto"/>
        <w:ind w:firstLine="567"/>
        <w:jc w:val="both"/>
        <w:rPr>
          <w:rFonts w:ascii="PermianSerifTypeface" w:hAnsi="PermianSerifTypeface" w:cs="Times New Roman"/>
          <w:sz w:val="24"/>
          <w:szCs w:val="24"/>
          <w:lang w:val="en-GB"/>
        </w:rPr>
      </w:pPr>
      <w:bookmarkStart w:id="2" w:name="_Hlk94108983"/>
      <w:bookmarkEnd w:id="1"/>
      <w:r w:rsidRPr="00C57F89">
        <w:rPr>
          <w:rFonts w:ascii="PermianSerifTypeface" w:hAnsi="PermianSerifTypeface" w:cs="Times New Roman"/>
          <w:b/>
          <w:bCs/>
          <w:sz w:val="24"/>
          <w:szCs w:val="24"/>
          <w:lang w:val="en-GB"/>
        </w:rPr>
        <w:t>3</w:t>
      </w:r>
      <w:r w:rsidR="001968E9" w:rsidRPr="00C57F89">
        <w:rPr>
          <w:rFonts w:ascii="PermianSerifTypeface" w:hAnsi="PermianSerifTypeface" w:cs="Times New Roman"/>
          <w:b/>
          <w:bCs/>
          <w:sz w:val="24"/>
          <w:szCs w:val="24"/>
          <w:lang w:val="en-GB"/>
        </w:rPr>
        <w:t>1</w:t>
      </w:r>
      <w:r w:rsidR="00B83170" w:rsidRPr="00C57F89">
        <w:rPr>
          <w:rFonts w:ascii="PermianSerifTypeface" w:hAnsi="PermianSerifTypeface" w:cs="Times New Roman"/>
          <w:b/>
          <w:bCs/>
          <w:sz w:val="24"/>
          <w:szCs w:val="24"/>
          <w:lang w:val="en-GB"/>
        </w:rPr>
        <w:t xml:space="preserve">. </w:t>
      </w:r>
      <w:bookmarkEnd w:id="2"/>
      <w:r w:rsidR="009C4A77" w:rsidRPr="009C4A77">
        <w:rPr>
          <w:rFonts w:ascii="PermianSerifTypeface" w:hAnsi="PermianSerifTypeface" w:cs="Times New Roman"/>
          <w:color w:val="000000"/>
          <w:sz w:val="24"/>
          <w:szCs w:val="24"/>
          <w:lang w:val="en-GB"/>
        </w:rPr>
        <w:t xml:space="preserve">In accordance with the provisions of points 4–7, the preliminary act on the results of the </w:t>
      </w:r>
      <w:r w:rsidR="00F36C74">
        <w:rPr>
          <w:rFonts w:ascii="PermianSerifTypeface" w:hAnsi="PermianSerifTypeface" w:cs="Times New Roman"/>
          <w:color w:val="000000"/>
          <w:sz w:val="24"/>
          <w:szCs w:val="24"/>
          <w:lang w:val="en-GB"/>
        </w:rPr>
        <w:t>control</w:t>
      </w:r>
      <w:r w:rsidR="009C4A77" w:rsidRPr="009C4A77">
        <w:rPr>
          <w:rFonts w:ascii="PermianSerifTypeface" w:hAnsi="PermianSerifTypeface" w:cs="Times New Roman"/>
          <w:color w:val="000000"/>
          <w:sz w:val="24"/>
          <w:szCs w:val="24"/>
          <w:lang w:val="en-GB"/>
        </w:rPr>
        <w:t xml:space="preserve"> shall be notified to the </w:t>
      </w:r>
      <w:r w:rsidR="00F36C74">
        <w:rPr>
          <w:rFonts w:ascii="PermianSerifTypeface" w:hAnsi="PermianSerifTypeface" w:cs="Times New Roman"/>
          <w:color w:val="000000"/>
          <w:sz w:val="24"/>
          <w:szCs w:val="24"/>
          <w:lang w:val="en-GB"/>
        </w:rPr>
        <w:t>Single C</w:t>
      </w:r>
      <w:r w:rsidR="009C4A77" w:rsidRPr="009C4A77">
        <w:rPr>
          <w:rFonts w:ascii="PermianSerifTypeface" w:hAnsi="PermianSerifTypeface" w:cs="Times New Roman"/>
          <w:color w:val="000000"/>
          <w:sz w:val="24"/>
          <w:szCs w:val="24"/>
          <w:lang w:val="en-GB"/>
        </w:rPr>
        <w:t xml:space="preserve">entral </w:t>
      </w:r>
      <w:r w:rsidR="00F36C74">
        <w:rPr>
          <w:rFonts w:ascii="PermianSerifTypeface" w:hAnsi="PermianSerifTypeface" w:cs="Times New Roman"/>
          <w:color w:val="000000"/>
          <w:sz w:val="24"/>
          <w:szCs w:val="24"/>
          <w:lang w:val="en-GB"/>
        </w:rPr>
        <w:t>D</w:t>
      </w:r>
      <w:r w:rsidR="009C4A77" w:rsidRPr="009C4A77">
        <w:rPr>
          <w:rFonts w:ascii="PermianSerifTypeface" w:hAnsi="PermianSerifTypeface" w:cs="Times New Roman"/>
          <w:color w:val="000000"/>
          <w:sz w:val="24"/>
          <w:szCs w:val="24"/>
          <w:lang w:val="en-GB"/>
        </w:rPr>
        <w:t xml:space="preserve">epository subject to </w:t>
      </w:r>
      <w:r w:rsidR="00F36C74">
        <w:rPr>
          <w:rFonts w:ascii="PermianSerifTypeface" w:hAnsi="PermianSerifTypeface" w:cs="Times New Roman"/>
          <w:color w:val="000000"/>
          <w:sz w:val="24"/>
          <w:szCs w:val="24"/>
          <w:lang w:val="en-GB"/>
        </w:rPr>
        <w:t>control</w:t>
      </w:r>
      <w:r w:rsidR="00BB0C49" w:rsidRPr="00C57F89">
        <w:rPr>
          <w:rFonts w:ascii="PermianSerifTypeface" w:hAnsi="PermianSerifTypeface" w:cs="Times New Roman"/>
          <w:sz w:val="24"/>
          <w:szCs w:val="24"/>
          <w:lang w:val="en-GB"/>
        </w:rPr>
        <w:t>.</w:t>
      </w:r>
    </w:p>
    <w:p w14:paraId="351090E9" w14:textId="651F150B" w:rsidR="00C12A16" w:rsidRPr="00C57F89" w:rsidRDefault="00C12A16" w:rsidP="00D777E4">
      <w:pPr>
        <w:tabs>
          <w:tab w:val="left" w:pos="851"/>
          <w:tab w:val="left" w:pos="1134"/>
        </w:tabs>
        <w:spacing w:after="0" w:line="276" w:lineRule="auto"/>
        <w:ind w:firstLine="567"/>
        <w:jc w:val="both"/>
        <w:rPr>
          <w:rFonts w:ascii="PermianSerifTypeface" w:hAnsi="PermianSerifTypeface" w:cs="Times New Roman"/>
          <w:sz w:val="24"/>
          <w:szCs w:val="24"/>
          <w:lang w:val="en-GB"/>
        </w:rPr>
      </w:pPr>
      <w:r w:rsidRPr="00C57F89">
        <w:rPr>
          <w:rFonts w:ascii="PermianSerifTypeface" w:hAnsi="PermianSerifTypeface" w:cs="Times New Roman"/>
          <w:b/>
          <w:bCs/>
          <w:sz w:val="24"/>
          <w:szCs w:val="24"/>
          <w:lang w:val="en-GB"/>
        </w:rPr>
        <w:t>3</w:t>
      </w:r>
      <w:r w:rsidR="001968E9" w:rsidRPr="00C57F89">
        <w:rPr>
          <w:rFonts w:ascii="PermianSerifTypeface" w:hAnsi="PermianSerifTypeface" w:cs="Times New Roman"/>
          <w:b/>
          <w:bCs/>
          <w:sz w:val="24"/>
          <w:szCs w:val="24"/>
          <w:lang w:val="en-GB"/>
        </w:rPr>
        <w:t>2</w:t>
      </w:r>
      <w:r w:rsidRPr="00C57F89">
        <w:rPr>
          <w:rFonts w:ascii="PermianSerifTypeface" w:hAnsi="PermianSerifTypeface" w:cs="Times New Roman"/>
          <w:b/>
          <w:bCs/>
          <w:sz w:val="24"/>
          <w:szCs w:val="24"/>
          <w:lang w:val="en-GB"/>
        </w:rPr>
        <w:t xml:space="preserve">. </w:t>
      </w:r>
      <w:r w:rsidR="009C4A77" w:rsidRPr="009C4A77">
        <w:rPr>
          <w:rFonts w:ascii="PermianSerifTypeface" w:hAnsi="PermianSerifTypeface" w:cs="Times New Roman"/>
          <w:sz w:val="24"/>
          <w:szCs w:val="24"/>
          <w:lang w:val="en-GB"/>
        </w:rPr>
        <w:t>The Single Central Depository may, within 5 working days from the date of notification of the preliminary act on the results of the control, submit in writing, in accordance with the provisions of Article 113 of Law No 548/1995, if applicable, objections and/or explanations regarding the same, attaching the relevant documents in this regard.</w:t>
      </w:r>
    </w:p>
    <w:p w14:paraId="56491ADD" w14:textId="416D651A" w:rsidR="00822676" w:rsidRPr="00C57F89" w:rsidRDefault="00C12A16" w:rsidP="00D777E4">
      <w:pPr>
        <w:tabs>
          <w:tab w:val="left" w:pos="851"/>
          <w:tab w:val="left" w:pos="1134"/>
        </w:tabs>
        <w:spacing w:after="0" w:line="276" w:lineRule="auto"/>
        <w:ind w:firstLine="567"/>
        <w:jc w:val="both"/>
        <w:rPr>
          <w:rFonts w:ascii="PermianSerifTypeface" w:hAnsi="PermianSerifTypeface" w:cs="Times New Roman"/>
          <w:sz w:val="24"/>
          <w:szCs w:val="24"/>
          <w:lang w:val="en-GB"/>
        </w:rPr>
      </w:pPr>
      <w:r w:rsidRPr="00C57F89">
        <w:rPr>
          <w:rFonts w:ascii="PermianSerifTypeface" w:hAnsi="PermianSerifTypeface" w:cs="Times New Roman"/>
          <w:b/>
          <w:bCs/>
          <w:sz w:val="24"/>
          <w:szCs w:val="24"/>
          <w:lang w:val="en-GB"/>
        </w:rPr>
        <w:t>3</w:t>
      </w:r>
      <w:r w:rsidR="001968E9" w:rsidRPr="00C57F89">
        <w:rPr>
          <w:rFonts w:ascii="PermianSerifTypeface" w:hAnsi="PermianSerifTypeface" w:cs="Times New Roman"/>
          <w:b/>
          <w:bCs/>
          <w:sz w:val="24"/>
          <w:szCs w:val="24"/>
          <w:lang w:val="en-GB"/>
        </w:rPr>
        <w:t>3</w:t>
      </w:r>
      <w:r w:rsidRPr="00C57F89">
        <w:rPr>
          <w:rFonts w:ascii="PermianSerifTypeface" w:hAnsi="PermianSerifTypeface" w:cs="Times New Roman"/>
          <w:b/>
          <w:bCs/>
          <w:sz w:val="24"/>
          <w:szCs w:val="24"/>
          <w:lang w:val="en-GB"/>
        </w:rPr>
        <w:t xml:space="preserve">. </w:t>
      </w:r>
      <w:r w:rsidR="009C4A77" w:rsidRPr="009C4A77">
        <w:rPr>
          <w:rFonts w:ascii="PermianSerifTypeface" w:hAnsi="PermianSerifTypeface" w:cs="Times New Roman"/>
          <w:sz w:val="24"/>
          <w:szCs w:val="24"/>
          <w:lang w:val="en-GB"/>
        </w:rPr>
        <w:t>Following the examination of objections and/or explanations submitted in relation to the preliminary report on the results of the control by the Single Central Depository or in the absence of such objections and/or explanations, upon expiry of the period referred to in point 32, the report on the results of the control shall be drafted and notified to the Single Central Depository and/or, where applicable, to the persons concerned in the report, in accordance with the provisions of points 4 to 7</w:t>
      </w:r>
      <w:r w:rsidR="00BB0C49" w:rsidRPr="00C57F89">
        <w:rPr>
          <w:rFonts w:ascii="PermianSerifTypeface" w:hAnsi="PermianSerifTypeface" w:cs="Times New Roman"/>
          <w:sz w:val="24"/>
          <w:szCs w:val="24"/>
          <w:lang w:val="en-GB"/>
        </w:rPr>
        <w:t xml:space="preserve">. </w:t>
      </w:r>
    </w:p>
    <w:p w14:paraId="4B4AA620" w14:textId="12AD9076" w:rsidR="00822676" w:rsidRPr="00C57F89" w:rsidRDefault="00822676" w:rsidP="00D777E4">
      <w:pPr>
        <w:tabs>
          <w:tab w:val="left" w:pos="851"/>
          <w:tab w:val="left" w:pos="1134"/>
        </w:tabs>
        <w:spacing w:after="0" w:line="276" w:lineRule="auto"/>
        <w:ind w:firstLine="567"/>
        <w:jc w:val="both"/>
        <w:rPr>
          <w:rFonts w:ascii="PermianSerifTypeface" w:hAnsi="PermianSerifTypeface" w:cs="Times New Roman"/>
          <w:sz w:val="24"/>
          <w:szCs w:val="24"/>
          <w:lang w:val="en-GB"/>
        </w:rPr>
      </w:pPr>
      <w:r w:rsidRPr="00C57F89">
        <w:rPr>
          <w:rFonts w:ascii="PermianSerifTypeface" w:hAnsi="PermianSerifTypeface" w:cs="Times New Roman"/>
          <w:b/>
          <w:bCs/>
          <w:sz w:val="24"/>
          <w:szCs w:val="24"/>
          <w:lang w:val="en-GB"/>
        </w:rPr>
        <w:t>3</w:t>
      </w:r>
      <w:r w:rsidR="001968E9" w:rsidRPr="00C57F89">
        <w:rPr>
          <w:rFonts w:ascii="PermianSerifTypeface" w:hAnsi="PermianSerifTypeface" w:cs="Times New Roman"/>
          <w:b/>
          <w:bCs/>
          <w:sz w:val="24"/>
          <w:szCs w:val="24"/>
          <w:lang w:val="en-GB"/>
        </w:rPr>
        <w:t>4</w:t>
      </w:r>
      <w:r w:rsidRPr="00C57F89">
        <w:rPr>
          <w:rFonts w:ascii="PermianSerifTypeface" w:hAnsi="PermianSerifTypeface" w:cs="Times New Roman"/>
          <w:b/>
          <w:bCs/>
          <w:sz w:val="24"/>
          <w:szCs w:val="24"/>
          <w:lang w:val="en-GB"/>
        </w:rPr>
        <w:t xml:space="preserve">. </w:t>
      </w:r>
      <w:r w:rsidR="009C4A77" w:rsidRPr="009C4A77">
        <w:rPr>
          <w:rFonts w:ascii="PermianSerifTypeface" w:hAnsi="PermianSerifTypeface" w:cs="Times New Roman"/>
          <w:sz w:val="24"/>
          <w:szCs w:val="24"/>
          <w:lang w:val="en-GB"/>
        </w:rPr>
        <w:t xml:space="preserve">If objections and/or explanations were submitted regarding the preliminary act on the results of the </w:t>
      </w:r>
      <w:r w:rsidR="00F36C74">
        <w:rPr>
          <w:rFonts w:ascii="PermianSerifTypeface" w:hAnsi="PermianSerifTypeface" w:cs="Times New Roman"/>
          <w:sz w:val="24"/>
          <w:szCs w:val="24"/>
          <w:lang w:val="en-GB"/>
        </w:rPr>
        <w:t>control</w:t>
      </w:r>
      <w:r w:rsidR="009C4A77" w:rsidRPr="009C4A77">
        <w:rPr>
          <w:rFonts w:ascii="PermianSerifTypeface" w:hAnsi="PermianSerifTypeface" w:cs="Times New Roman"/>
          <w:sz w:val="24"/>
          <w:szCs w:val="24"/>
          <w:lang w:val="en-GB"/>
        </w:rPr>
        <w:t xml:space="preserve">, simultaneously with the notification of the act on the results of the </w:t>
      </w:r>
      <w:r w:rsidR="00F36C74">
        <w:rPr>
          <w:rFonts w:ascii="PermianSerifTypeface" w:hAnsi="PermianSerifTypeface" w:cs="Times New Roman"/>
          <w:sz w:val="24"/>
          <w:szCs w:val="24"/>
          <w:lang w:val="en-GB"/>
        </w:rPr>
        <w:t>control</w:t>
      </w:r>
      <w:r w:rsidR="009C4A77" w:rsidRPr="009C4A77">
        <w:rPr>
          <w:rFonts w:ascii="PermianSerifTypeface" w:hAnsi="PermianSerifTypeface" w:cs="Times New Roman"/>
          <w:sz w:val="24"/>
          <w:szCs w:val="24"/>
          <w:lang w:val="en-GB"/>
        </w:rPr>
        <w:t xml:space="preserve">, the NBM shall notify the Single Central Depository and/or, </w:t>
      </w:r>
      <w:r w:rsidR="009C4A77" w:rsidRPr="009C4A77">
        <w:rPr>
          <w:rFonts w:ascii="PermianSerifTypeface" w:hAnsi="PermianSerifTypeface" w:cs="Times New Roman"/>
          <w:sz w:val="24"/>
          <w:szCs w:val="24"/>
          <w:lang w:val="en-GB"/>
        </w:rPr>
        <w:lastRenderedPageBreak/>
        <w:t>as the case may be, the persons concerned in the act, regarding the acceptance/non-acceptance of the objections/explanations submitted.</w:t>
      </w:r>
    </w:p>
    <w:p w14:paraId="72CF323E" w14:textId="30C38773" w:rsidR="00117CC4" w:rsidRPr="00C57F89" w:rsidRDefault="001508A5" w:rsidP="00D777E4">
      <w:pPr>
        <w:tabs>
          <w:tab w:val="left" w:pos="851"/>
        </w:tabs>
        <w:spacing w:after="0" w:line="276" w:lineRule="auto"/>
        <w:ind w:firstLine="567"/>
        <w:jc w:val="both"/>
        <w:rPr>
          <w:rFonts w:ascii="PermianSerifTypeface" w:hAnsi="PermianSerifTypeface" w:cs="Times New Roman"/>
          <w:sz w:val="24"/>
          <w:szCs w:val="24"/>
          <w:lang w:val="en-GB"/>
        </w:rPr>
      </w:pPr>
      <w:r w:rsidRPr="00C57F89">
        <w:rPr>
          <w:rFonts w:ascii="PermianSerifTypeface" w:hAnsi="PermianSerifTypeface" w:cs="Times New Roman"/>
          <w:b/>
          <w:bCs/>
          <w:sz w:val="24"/>
          <w:szCs w:val="24"/>
          <w:lang w:val="en-GB"/>
        </w:rPr>
        <w:t>3</w:t>
      </w:r>
      <w:r w:rsidR="001968E9" w:rsidRPr="00C57F89">
        <w:rPr>
          <w:rFonts w:ascii="PermianSerifTypeface" w:hAnsi="PermianSerifTypeface" w:cs="Times New Roman"/>
          <w:b/>
          <w:bCs/>
          <w:sz w:val="24"/>
          <w:szCs w:val="24"/>
          <w:lang w:val="en-GB"/>
        </w:rPr>
        <w:t>5</w:t>
      </w:r>
      <w:r w:rsidR="00822676" w:rsidRPr="00C57F89">
        <w:rPr>
          <w:rFonts w:ascii="PermianSerifTypeface" w:hAnsi="PermianSerifTypeface" w:cs="Times New Roman"/>
          <w:b/>
          <w:bCs/>
          <w:sz w:val="24"/>
          <w:szCs w:val="24"/>
          <w:lang w:val="en-GB"/>
        </w:rPr>
        <w:t xml:space="preserve">. </w:t>
      </w:r>
      <w:r w:rsidR="009C4A77" w:rsidRPr="009C4A77">
        <w:rPr>
          <w:rFonts w:ascii="PermianSerifTypeface" w:hAnsi="PermianSerifTypeface" w:cs="Times New Roman"/>
          <w:color w:val="000000"/>
          <w:sz w:val="24"/>
          <w:szCs w:val="24"/>
          <w:lang w:val="en-GB"/>
        </w:rPr>
        <w:t xml:space="preserve">In the event that, based on the results of the control, an </w:t>
      </w:r>
      <w:r w:rsidR="009533F3" w:rsidRPr="009C4A77">
        <w:rPr>
          <w:rFonts w:ascii="PermianSerifTypeface" w:hAnsi="PermianSerifTypeface" w:cs="Times New Roman"/>
          <w:color w:val="000000"/>
          <w:sz w:val="24"/>
          <w:szCs w:val="24"/>
          <w:lang w:val="en-GB"/>
        </w:rPr>
        <w:t>unfavourable</w:t>
      </w:r>
      <w:r w:rsidR="009C4A77" w:rsidRPr="009C4A77">
        <w:rPr>
          <w:rFonts w:ascii="PermianSerifTypeface" w:hAnsi="PermianSerifTypeface" w:cs="Times New Roman"/>
          <w:color w:val="000000"/>
          <w:sz w:val="24"/>
          <w:szCs w:val="24"/>
          <w:lang w:val="en-GB"/>
        </w:rPr>
        <w:t xml:space="preserve"> decision is to be issued for the </w:t>
      </w:r>
      <w:r w:rsidR="00F36C74">
        <w:rPr>
          <w:rFonts w:ascii="PermianSerifTypeface" w:hAnsi="PermianSerifTypeface" w:cs="Times New Roman"/>
          <w:color w:val="000000"/>
          <w:sz w:val="24"/>
          <w:szCs w:val="24"/>
          <w:lang w:val="en-GB"/>
        </w:rPr>
        <w:t xml:space="preserve">Single </w:t>
      </w:r>
      <w:r w:rsidR="009C4A77" w:rsidRPr="009C4A77">
        <w:rPr>
          <w:rFonts w:ascii="PermianSerifTypeface" w:hAnsi="PermianSerifTypeface" w:cs="Times New Roman"/>
          <w:color w:val="000000"/>
          <w:sz w:val="24"/>
          <w:szCs w:val="24"/>
          <w:lang w:val="en-GB"/>
        </w:rPr>
        <w:t>Central Depository and/or, as applicable, for the persons concerned in the report, simultaneously with the notification of the report on the control findings, they are invited to present their opinion in writing, to the N</w:t>
      </w:r>
      <w:r w:rsidR="00F36C74">
        <w:rPr>
          <w:rFonts w:ascii="PermianSerifTypeface" w:hAnsi="PermianSerifTypeface" w:cs="Times New Roman"/>
          <w:color w:val="000000"/>
          <w:sz w:val="24"/>
          <w:szCs w:val="24"/>
          <w:lang w:val="en-GB"/>
        </w:rPr>
        <w:t>B</w:t>
      </w:r>
      <w:r w:rsidR="009C4A77" w:rsidRPr="009C4A77">
        <w:rPr>
          <w:rFonts w:ascii="PermianSerifTypeface" w:hAnsi="PermianSerifTypeface" w:cs="Times New Roman"/>
          <w:color w:val="000000"/>
          <w:sz w:val="24"/>
          <w:szCs w:val="24"/>
          <w:lang w:val="en-GB"/>
        </w:rPr>
        <w:t>M, within 10 working days from the date of notification. The written opinion must be submitted in accordance with the provisions of Article 113 of Law No 548/1995. In this regard, the provisions of Article 11 paragraphs</w:t>
      </w:r>
      <w:r w:rsidR="009C4A77" w:rsidRPr="009C4A77">
        <w:rPr>
          <w:rFonts w:ascii="PermianSerifTypeface" w:hAnsi="PermianSerifTypeface" w:cs="Times New Roman"/>
          <w:color w:val="000000"/>
          <w:sz w:val="24"/>
          <w:szCs w:val="24"/>
          <w:shd w:val="clear" w:color="auto" w:fill="FFFFFF"/>
          <w:lang w:val="en-GB"/>
        </w:rPr>
        <w:t xml:space="preserve"> </w:t>
      </w:r>
      <w:r w:rsidR="00BB0C49" w:rsidRPr="009C4A77">
        <w:rPr>
          <w:rFonts w:ascii="PermianSerifTypeface" w:hAnsi="PermianSerifTypeface" w:cs="Times New Roman"/>
          <w:color w:val="000000"/>
          <w:sz w:val="24"/>
          <w:szCs w:val="24"/>
          <w:shd w:val="clear" w:color="auto" w:fill="FFFFFF"/>
          <w:lang w:val="en-GB"/>
        </w:rPr>
        <w:t>(3</w:t>
      </w:r>
      <w:r w:rsidR="00BB0C49" w:rsidRPr="009C4A77">
        <w:rPr>
          <w:rFonts w:ascii="PermianSerifTypeface" w:hAnsi="PermianSerifTypeface" w:cs="Times New Roman"/>
          <w:color w:val="000000"/>
          <w:sz w:val="24"/>
          <w:szCs w:val="24"/>
          <w:shd w:val="clear" w:color="auto" w:fill="FFFFFF"/>
          <w:vertAlign w:val="superscript"/>
          <w:lang w:val="en-GB"/>
        </w:rPr>
        <w:t>4</w:t>
      </w:r>
      <w:r w:rsidR="00BB0C49" w:rsidRPr="009C4A77">
        <w:rPr>
          <w:rFonts w:ascii="PermianSerifTypeface" w:hAnsi="PermianSerifTypeface" w:cs="Times New Roman"/>
          <w:color w:val="000000"/>
          <w:sz w:val="24"/>
          <w:szCs w:val="24"/>
          <w:shd w:val="clear" w:color="auto" w:fill="FFFFFF"/>
          <w:lang w:val="en-GB"/>
        </w:rPr>
        <w:t>)</w:t>
      </w:r>
      <w:proofErr w:type="gramStart"/>
      <w:r w:rsidR="00BB0C49" w:rsidRPr="009C4A77">
        <w:rPr>
          <w:rFonts w:ascii="PermianSerifTypeface" w:hAnsi="PermianSerifTypeface" w:cs="Times New Roman"/>
          <w:color w:val="000000"/>
          <w:sz w:val="24"/>
          <w:szCs w:val="24"/>
          <w:shd w:val="clear" w:color="auto" w:fill="FFFFFF"/>
          <w:lang w:val="en-GB"/>
        </w:rPr>
        <w:t>–(</w:t>
      </w:r>
      <w:proofErr w:type="gramEnd"/>
      <w:r w:rsidR="00BB0C49" w:rsidRPr="009C4A77">
        <w:rPr>
          <w:rFonts w:ascii="PermianSerifTypeface" w:hAnsi="PermianSerifTypeface" w:cs="Times New Roman"/>
          <w:color w:val="000000"/>
          <w:sz w:val="24"/>
          <w:szCs w:val="24"/>
          <w:shd w:val="clear" w:color="auto" w:fill="FFFFFF"/>
          <w:lang w:val="en-GB"/>
        </w:rPr>
        <w:t>3</w:t>
      </w:r>
      <w:r w:rsidR="00BB0C49" w:rsidRPr="009C4A77">
        <w:rPr>
          <w:rFonts w:ascii="PermianSerifTypeface" w:hAnsi="PermianSerifTypeface" w:cs="Times New Roman"/>
          <w:color w:val="000000"/>
          <w:sz w:val="24"/>
          <w:szCs w:val="24"/>
          <w:shd w:val="clear" w:color="auto" w:fill="FFFFFF"/>
          <w:vertAlign w:val="superscript"/>
          <w:lang w:val="en-GB"/>
        </w:rPr>
        <w:t>7</w:t>
      </w:r>
      <w:r w:rsidR="00BB0C49" w:rsidRPr="009C4A77">
        <w:rPr>
          <w:rFonts w:ascii="PermianSerifTypeface" w:hAnsi="PermianSerifTypeface" w:cs="Times New Roman"/>
          <w:color w:val="000000"/>
          <w:sz w:val="24"/>
          <w:szCs w:val="24"/>
          <w:shd w:val="clear" w:color="auto" w:fill="FFFFFF"/>
          <w:lang w:val="en-GB"/>
        </w:rPr>
        <w:t xml:space="preserve">) </w:t>
      </w:r>
      <w:r w:rsidR="009C4A77" w:rsidRPr="009C4A77">
        <w:rPr>
          <w:rFonts w:ascii="PermianSerifTypeface" w:hAnsi="PermianSerifTypeface" w:cs="Times New Roman"/>
          <w:color w:val="000000"/>
          <w:sz w:val="24"/>
          <w:szCs w:val="24"/>
          <w:shd w:val="clear" w:color="auto" w:fill="FFFFFF"/>
          <w:lang w:val="en-GB"/>
        </w:rPr>
        <w:t>of Law No 548/1995 shall apply accordingly.</w:t>
      </w:r>
    </w:p>
    <w:p w14:paraId="6B8A5C73" w14:textId="77777777" w:rsidR="003E281D" w:rsidRPr="00C57F89" w:rsidRDefault="003E281D" w:rsidP="009C4A77">
      <w:pPr>
        <w:tabs>
          <w:tab w:val="left" w:pos="1134"/>
        </w:tabs>
        <w:spacing w:after="120" w:line="276" w:lineRule="auto"/>
        <w:rPr>
          <w:rFonts w:ascii="PermianSerifTypeface" w:hAnsi="PermianSerifTypeface" w:cs="Times New Roman"/>
          <w:b/>
          <w:bCs/>
          <w:sz w:val="24"/>
          <w:szCs w:val="24"/>
          <w:lang w:val="en-GB"/>
        </w:rPr>
      </w:pPr>
    </w:p>
    <w:p w14:paraId="78D377DE" w14:textId="10E4F620" w:rsidR="00117CC4" w:rsidRPr="00C57F89" w:rsidRDefault="009C4A77" w:rsidP="00D777E4">
      <w:pPr>
        <w:tabs>
          <w:tab w:val="left" w:pos="1134"/>
        </w:tabs>
        <w:spacing w:after="120" w:line="276" w:lineRule="auto"/>
        <w:jc w:val="center"/>
        <w:rPr>
          <w:rFonts w:ascii="PermianSerifTypeface" w:hAnsi="PermianSerifTypeface" w:cs="Times New Roman"/>
          <w:b/>
          <w:sz w:val="24"/>
          <w:szCs w:val="24"/>
          <w:lang w:val="en-GB"/>
        </w:rPr>
      </w:pPr>
      <w:r>
        <w:rPr>
          <w:rFonts w:ascii="PermianSerifTypeface" w:hAnsi="PermianSerifTypeface" w:cs="Times New Roman"/>
          <w:b/>
          <w:bCs/>
          <w:sz w:val="24"/>
          <w:szCs w:val="24"/>
          <w:lang w:val="en-GB"/>
        </w:rPr>
        <w:t>Section</w:t>
      </w:r>
      <w:r w:rsidR="00C434F1" w:rsidRPr="00C57F89">
        <w:rPr>
          <w:rFonts w:ascii="PermianSerifTypeface" w:hAnsi="PermianSerifTypeface" w:cs="Times New Roman"/>
          <w:b/>
          <w:bCs/>
          <w:sz w:val="24"/>
          <w:szCs w:val="24"/>
          <w:lang w:val="en-GB"/>
        </w:rPr>
        <w:t xml:space="preserve"> </w:t>
      </w:r>
      <w:r w:rsidR="0021039E" w:rsidRPr="00C57F89">
        <w:rPr>
          <w:rFonts w:ascii="PermianSerifTypeface" w:hAnsi="PermianSerifTypeface" w:cs="Times New Roman"/>
          <w:b/>
          <w:sz w:val="24"/>
          <w:szCs w:val="24"/>
          <w:lang w:val="en-GB"/>
        </w:rPr>
        <w:t>5</w:t>
      </w:r>
      <w:r w:rsidR="00117CC4" w:rsidRPr="00C57F89">
        <w:rPr>
          <w:rFonts w:ascii="PermianSerifTypeface" w:hAnsi="PermianSerifTypeface" w:cs="Times New Roman"/>
          <w:b/>
          <w:bCs/>
          <w:sz w:val="24"/>
          <w:szCs w:val="24"/>
          <w:lang w:val="en-GB"/>
        </w:rPr>
        <w:br/>
      </w:r>
      <w:r w:rsidR="000C2BDA" w:rsidRPr="000C2BDA">
        <w:rPr>
          <w:rFonts w:ascii="PermianSerifTypeface" w:hAnsi="PermianSerifTypeface" w:cs="Times New Roman"/>
          <w:b/>
          <w:bCs/>
          <w:sz w:val="24"/>
          <w:szCs w:val="24"/>
          <w:lang w:val="en-GB"/>
        </w:rPr>
        <w:t>APPLICATION OF SANCTIONS, PRESCRIPTIONS, AND RECOMMENDATIONS</w:t>
      </w:r>
      <w:r w:rsidR="00AF573F" w:rsidRPr="00C57F89">
        <w:rPr>
          <w:rFonts w:ascii="PermianSerifTypeface" w:hAnsi="PermianSerifTypeface" w:cs="Times New Roman"/>
          <w:b/>
          <w:bCs/>
          <w:sz w:val="24"/>
          <w:szCs w:val="24"/>
          <w:lang w:val="en-GB"/>
        </w:rPr>
        <w:t xml:space="preserve"> </w:t>
      </w:r>
    </w:p>
    <w:p w14:paraId="7D773CB8" w14:textId="35E9478E" w:rsidR="00502F60" w:rsidRPr="00C57F89" w:rsidRDefault="000C2BDA"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0C2BDA">
        <w:rPr>
          <w:rFonts w:ascii="PermianSerifTypeface" w:hAnsi="PermianSerifTypeface" w:cs="Times New Roman"/>
          <w:sz w:val="24"/>
          <w:szCs w:val="24"/>
          <w:lang w:val="en-GB"/>
        </w:rPr>
        <w:t xml:space="preserve">Sanctions and/or prescriptions against the </w:t>
      </w:r>
      <w:r w:rsidR="00516485">
        <w:rPr>
          <w:rFonts w:ascii="PermianSerifTypeface" w:hAnsi="PermianSerifTypeface" w:cs="Times New Roman"/>
          <w:sz w:val="24"/>
          <w:szCs w:val="24"/>
          <w:lang w:val="en-GB"/>
        </w:rPr>
        <w:t xml:space="preserve">Single </w:t>
      </w:r>
      <w:r w:rsidRPr="000C2BDA">
        <w:rPr>
          <w:rFonts w:ascii="PermianSerifTypeface" w:hAnsi="PermianSerifTypeface" w:cs="Times New Roman"/>
          <w:sz w:val="24"/>
          <w:szCs w:val="24"/>
          <w:lang w:val="en-GB"/>
        </w:rPr>
        <w:t xml:space="preserve">Central Depository and/or the persons concerned in the report on the control findings, as well as the request to terminate any connections established with another </w:t>
      </w:r>
      <w:r w:rsidR="00030615">
        <w:rPr>
          <w:rFonts w:ascii="PermianSerifTypeface" w:hAnsi="PermianSerifTypeface" w:cs="Times New Roman"/>
          <w:sz w:val="24"/>
          <w:szCs w:val="24"/>
          <w:lang w:val="en-GB"/>
        </w:rPr>
        <w:t>Single C</w:t>
      </w:r>
      <w:r w:rsidRPr="000C2BDA">
        <w:rPr>
          <w:rFonts w:ascii="PermianSerifTypeface" w:hAnsi="PermianSerifTypeface" w:cs="Times New Roman"/>
          <w:sz w:val="24"/>
          <w:szCs w:val="24"/>
          <w:lang w:val="en-GB"/>
        </w:rPr>
        <w:t xml:space="preserve">entral </w:t>
      </w:r>
      <w:r w:rsidR="00030615">
        <w:rPr>
          <w:rFonts w:ascii="PermianSerifTypeface" w:hAnsi="PermianSerifTypeface" w:cs="Times New Roman"/>
          <w:sz w:val="24"/>
          <w:szCs w:val="24"/>
          <w:lang w:val="en-GB"/>
        </w:rPr>
        <w:t>D</w:t>
      </w:r>
      <w:r w:rsidRPr="000C2BDA">
        <w:rPr>
          <w:rFonts w:ascii="PermianSerifTypeface" w:hAnsi="PermianSerifTypeface" w:cs="Times New Roman"/>
          <w:sz w:val="24"/>
          <w:szCs w:val="24"/>
          <w:lang w:val="en-GB"/>
        </w:rPr>
        <w:t xml:space="preserve">epository, are applied/issued in cases of violation of the provisions of Law </w:t>
      </w:r>
      <w:r>
        <w:rPr>
          <w:rFonts w:ascii="PermianSerifTypeface" w:hAnsi="PermianSerifTypeface" w:cs="Times New Roman"/>
          <w:sz w:val="24"/>
          <w:szCs w:val="24"/>
          <w:lang w:val="en-GB"/>
        </w:rPr>
        <w:t>N</w:t>
      </w:r>
      <w:r w:rsidRPr="000C2BDA">
        <w:rPr>
          <w:rFonts w:ascii="PermianSerifTypeface" w:hAnsi="PermianSerifTypeface" w:cs="Times New Roman"/>
          <w:sz w:val="24"/>
          <w:szCs w:val="24"/>
          <w:lang w:val="en-GB"/>
        </w:rPr>
        <w:t xml:space="preserve">o 234/2016 and/or the normative acts issued for the implementation of said law, and/or of Law </w:t>
      </w:r>
      <w:r>
        <w:rPr>
          <w:rFonts w:ascii="PermianSerifTypeface" w:hAnsi="PermianSerifTypeface" w:cs="Times New Roman"/>
          <w:sz w:val="24"/>
          <w:szCs w:val="24"/>
          <w:lang w:val="en-GB"/>
        </w:rPr>
        <w:t>N</w:t>
      </w:r>
      <w:r w:rsidRPr="000C2BDA">
        <w:rPr>
          <w:rFonts w:ascii="PermianSerifTypeface" w:hAnsi="PermianSerifTypeface" w:cs="Times New Roman"/>
          <w:sz w:val="24"/>
          <w:szCs w:val="24"/>
          <w:lang w:val="en-GB"/>
        </w:rPr>
        <w:t xml:space="preserve">o 1134/1997, Law </w:t>
      </w:r>
      <w:r>
        <w:rPr>
          <w:rFonts w:ascii="PermianSerifTypeface" w:hAnsi="PermianSerifTypeface" w:cs="Times New Roman"/>
          <w:sz w:val="24"/>
          <w:szCs w:val="24"/>
          <w:lang w:val="en-GB"/>
        </w:rPr>
        <w:t>N</w:t>
      </w:r>
      <w:r w:rsidRPr="000C2BDA">
        <w:rPr>
          <w:rFonts w:ascii="PermianSerifTypeface" w:hAnsi="PermianSerifTypeface" w:cs="Times New Roman"/>
          <w:sz w:val="24"/>
          <w:szCs w:val="24"/>
          <w:lang w:val="en-GB"/>
        </w:rPr>
        <w:t xml:space="preserve">o 183/2016, in accordance with the provisions of Law </w:t>
      </w:r>
      <w:r>
        <w:rPr>
          <w:rFonts w:ascii="PermianSerifTypeface" w:hAnsi="PermianSerifTypeface" w:cs="Times New Roman"/>
          <w:sz w:val="24"/>
          <w:szCs w:val="24"/>
          <w:lang w:val="en-GB"/>
        </w:rPr>
        <w:t>N</w:t>
      </w:r>
      <w:r w:rsidRPr="000C2BDA">
        <w:rPr>
          <w:rFonts w:ascii="PermianSerifTypeface" w:hAnsi="PermianSerifTypeface" w:cs="Times New Roman"/>
          <w:sz w:val="24"/>
          <w:szCs w:val="24"/>
          <w:lang w:val="en-GB"/>
        </w:rPr>
        <w:t>o 234/2016 and Articles 75 and 75</w:t>
      </w:r>
      <w:r w:rsidRPr="00030615">
        <w:rPr>
          <w:rFonts w:ascii="PermianSerifTypeface" w:hAnsi="PermianSerifTypeface" w:cs="Times New Roman"/>
          <w:sz w:val="24"/>
          <w:szCs w:val="24"/>
          <w:vertAlign w:val="superscript"/>
          <w:lang w:val="en-GB"/>
        </w:rPr>
        <w:t xml:space="preserve">2 </w:t>
      </w:r>
      <w:r w:rsidRPr="000C2BDA">
        <w:rPr>
          <w:rFonts w:ascii="PermianSerifTypeface" w:hAnsi="PermianSerifTypeface" w:cs="Times New Roman"/>
          <w:sz w:val="24"/>
          <w:szCs w:val="24"/>
          <w:lang w:val="en-GB"/>
        </w:rPr>
        <w:t xml:space="preserve">of Law </w:t>
      </w:r>
      <w:r>
        <w:rPr>
          <w:rFonts w:ascii="PermianSerifTypeface" w:hAnsi="PermianSerifTypeface" w:cs="Times New Roman"/>
          <w:sz w:val="24"/>
          <w:szCs w:val="24"/>
          <w:lang w:val="en-GB"/>
        </w:rPr>
        <w:t>N</w:t>
      </w:r>
      <w:r w:rsidRPr="000C2BDA">
        <w:rPr>
          <w:rFonts w:ascii="PermianSerifTypeface" w:hAnsi="PermianSerifTypeface" w:cs="Times New Roman"/>
          <w:sz w:val="24"/>
          <w:szCs w:val="24"/>
          <w:lang w:val="en-GB"/>
        </w:rPr>
        <w:t>o 548/1995</w:t>
      </w:r>
      <w:r w:rsidR="00173EF9" w:rsidRPr="00C57F89">
        <w:rPr>
          <w:rFonts w:ascii="PermianSerifTypeface" w:hAnsi="PermianSerifTypeface" w:cs="Times New Roman"/>
          <w:sz w:val="24"/>
          <w:szCs w:val="24"/>
          <w:lang w:val="en-GB"/>
        </w:rPr>
        <w:t>.</w:t>
      </w:r>
    </w:p>
    <w:p w14:paraId="6F12B1F0" w14:textId="6707A61B" w:rsidR="00502F60" w:rsidRPr="00C57F89" w:rsidRDefault="00F20ABD"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F20ABD">
        <w:rPr>
          <w:rFonts w:ascii="PermianSerifTypeface" w:hAnsi="PermianSerifTypeface" w:cs="Times New Roman"/>
          <w:sz w:val="24"/>
          <w:szCs w:val="24"/>
          <w:lang w:val="en-GB"/>
        </w:rPr>
        <w:t xml:space="preserve">The decision regarding the application of sanctions and/or the issuance of prescriptions is made by the Executive </w:t>
      </w:r>
      <w:r>
        <w:rPr>
          <w:rFonts w:ascii="PermianSerifTypeface" w:hAnsi="PermianSerifTypeface" w:cs="Times New Roman"/>
          <w:sz w:val="24"/>
          <w:szCs w:val="24"/>
          <w:lang w:val="en-GB"/>
        </w:rPr>
        <w:t>Board</w:t>
      </w:r>
      <w:r w:rsidRPr="00F20ABD">
        <w:rPr>
          <w:rFonts w:ascii="PermianSerifTypeface" w:hAnsi="PermianSerifTypeface" w:cs="Times New Roman"/>
          <w:sz w:val="24"/>
          <w:szCs w:val="24"/>
          <w:lang w:val="en-GB"/>
        </w:rPr>
        <w:t xml:space="preserve"> of the N</w:t>
      </w:r>
      <w:r>
        <w:rPr>
          <w:rFonts w:ascii="PermianSerifTypeface" w:hAnsi="PermianSerifTypeface" w:cs="Times New Roman"/>
          <w:sz w:val="24"/>
          <w:szCs w:val="24"/>
          <w:lang w:val="en-GB"/>
        </w:rPr>
        <w:t>B</w:t>
      </w:r>
      <w:r w:rsidRPr="00F20ABD">
        <w:rPr>
          <w:rFonts w:ascii="PermianSerifTypeface" w:hAnsi="PermianSerifTypeface" w:cs="Times New Roman"/>
          <w:sz w:val="24"/>
          <w:szCs w:val="24"/>
          <w:lang w:val="en-GB"/>
        </w:rPr>
        <w:t xml:space="preserve">M, based on the examination of the control results and the opinion of the </w:t>
      </w:r>
      <w:r w:rsidR="009533F3">
        <w:rPr>
          <w:rFonts w:ascii="PermianSerifTypeface" w:hAnsi="PermianSerifTypeface" w:cs="Times New Roman"/>
          <w:sz w:val="24"/>
          <w:szCs w:val="24"/>
          <w:lang w:val="en-GB"/>
        </w:rPr>
        <w:t xml:space="preserve">Single </w:t>
      </w:r>
      <w:r w:rsidRPr="00F20ABD">
        <w:rPr>
          <w:rFonts w:ascii="PermianSerifTypeface" w:hAnsi="PermianSerifTypeface" w:cs="Times New Roman"/>
          <w:sz w:val="24"/>
          <w:szCs w:val="24"/>
          <w:lang w:val="en-GB"/>
        </w:rPr>
        <w:t>Central Depository and/or the persons concerned in the report on the control findings, if such opinion has been presented in accordance with the provisions of Article 11, paragraphs (3</w:t>
      </w:r>
      <w:r w:rsidRPr="00030615">
        <w:rPr>
          <w:rFonts w:ascii="PermianSerifTypeface" w:hAnsi="PermianSerifTypeface" w:cs="Times New Roman"/>
          <w:sz w:val="24"/>
          <w:szCs w:val="24"/>
          <w:vertAlign w:val="superscript"/>
          <w:lang w:val="en-GB"/>
        </w:rPr>
        <w:t>4</w:t>
      </w:r>
      <w:r w:rsidRPr="00F20ABD">
        <w:rPr>
          <w:rFonts w:ascii="PermianSerifTypeface" w:hAnsi="PermianSerifTypeface" w:cs="Times New Roman"/>
          <w:sz w:val="24"/>
          <w:szCs w:val="24"/>
          <w:lang w:val="en-GB"/>
        </w:rPr>
        <w:t>)–(3</w:t>
      </w:r>
      <w:r w:rsidRPr="00030615">
        <w:rPr>
          <w:rFonts w:ascii="PermianSerifTypeface" w:hAnsi="PermianSerifTypeface" w:cs="Times New Roman"/>
          <w:sz w:val="24"/>
          <w:szCs w:val="24"/>
          <w:vertAlign w:val="superscript"/>
          <w:lang w:val="en-GB"/>
        </w:rPr>
        <w:t>7</w:t>
      </w:r>
      <w:r w:rsidRPr="00F20ABD">
        <w:rPr>
          <w:rFonts w:ascii="PermianSerifTypeface" w:hAnsi="PermianSerifTypeface" w:cs="Times New Roman"/>
          <w:sz w:val="24"/>
          <w:szCs w:val="24"/>
          <w:lang w:val="en-GB"/>
        </w:rPr>
        <w:t xml:space="preserve">) of Law </w:t>
      </w:r>
      <w:r>
        <w:rPr>
          <w:rFonts w:ascii="PermianSerifTypeface" w:hAnsi="PermianSerifTypeface" w:cs="Times New Roman"/>
          <w:sz w:val="24"/>
          <w:szCs w:val="24"/>
          <w:lang w:val="en-GB"/>
        </w:rPr>
        <w:t>N</w:t>
      </w:r>
      <w:r w:rsidRPr="00F20ABD">
        <w:rPr>
          <w:rFonts w:ascii="PermianSerifTypeface" w:hAnsi="PermianSerifTypeface" w:cs="Times New Roman"/>
          <w:sz w:val="24"/>
          <w:szCs w:val="24"/>
          <w:lang w:val="en-GB"/>
        </w:rPr>
        <w:t>o</w:t>
      </w:r>
      <w:r>
        <w:rPr>
          <w:rFonts w:ascii="PermianSerifTypeface" w:hAnsi="PermianSerifTypeface" w:cs="Times New Roman"/>
          <w:sz w:val="24"/>
          <w:szCs w:val="24"/>
          <w:lang w:val="en-GB"/>
        </w:rPr>
        <w:t xml:space="preserve"> </w:t>
      </w:r>
      <w:r w:rsidRPr="00F20ABD">
        <w:rPr>
          <w:rFonts w:ascii="PermianSerifTypeface" w:hAnsi="PermianSerifTypeface" w:cs="Times New Roman"/>
          <w:sz w:val="24"/>
          <w:szCs w:val="24"/>
          <w:lang w:val="en-GB"/>
        </w:rPr>
        <w:t>548/1995</w:t>
      </w:r>
      <w:r w:rsidR="00F12327" w:rsidRPr="00C57F89">
        <w:rPr>
          <w:rFonts w:ascii="PermianSerifTypeface" w:hAnsi="PermianSerifTypeface" w:cs="Times New Roman"/>
          <w:sz w:val="24"/>
          <w:szCs w:val="24"/>
          <w:lang w:val="en-GB"/>
        </w:rPr>
        <w:t>.</w:t>
      </w:r>
    </w:p>
    <w:p w14:paraId="71E807D2" w14:textId="3D274296" w:rsidR="00502F60" w:rsidRPr="009533F3" w:rsidRDefault="009533F3"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9533F3">
        <w:rPr>
          <w:rFonts w:ascii="PermianSerifTypeface" w:hAnsi="PermianSerifTypeface" w:cs="Times New Roman"/>
          <w:sz w:val="24"/>
          <w:szCs w:val="24"/>
          <w:lang w:val="en-GB"/>
        </w:rPr>
        <w:t xml:space="preserve">In applying the sanctions provided for in Article 26, paragraph (2) of Law </w:t>
      </w:r>
      <w:r>
        <w:rPr>
          <w:rFonts w:ascii="PermianSerifTypeface" w:hAnsi="PermianSerifTypeface" w:cs="Times New Roman"/>
          <w:sz w:val="24"/>
          <w:szCs w:val="24"/>
          <w:lang w:val="en-GB"/>
        </w:rPr>
        <w:t>N</w:t>
      </w:r>
      <w:r w:rsidRPr="009533F3">
        <w:rPr>
          <w:rFonts w:ascii="PermianSerifTypeface" w:hAnsi="PermianSerifTypeface" w:cs="Times New Roman"/>
          <w:sz w:val="24"/>
          <w:szCs w:val="24"/>
          <w:lang w:val="en-GB"/>
        </w:rPr>
        <w:t>o 234/2016, the</w:t>
      </w:r>
      <w:r>
        <w:rPr>
          <w:rFonts w:ascii="PermianSerifTypeface" w:hAnsi="PermianSerifTypeface" w:cs="Times New Roman"/>
          <w:sz w:val="24"/>
          <w:szCs w:val="24"/>
          <w:lang w:val="en-GB"/>
        </w:rPr>
        <w:t xml:space="preserve"> </w:t>
      </w:r>
      <w:r w:rsidRPr="009533F3">
        <w:rPr>
          <w:rFonts w:ascii="PermianSerifTypeface" w:hAnsi="PermianSerifTypeface" w:cs="Times New Roman"/>
          <w:sz w:val="24"/>
          <w:szCs w:val="24"/>
          <w:lang w:val="en-GB"/>
        </w:rPr>
        <w:t>N</w:t>
      </w:r>
      <w:r>
        <w:rPr>
          <w:rFonts w:ascii="PermianSerifTypeface" w:hAnsi="PermianSerifTypeface" w:cs="Times New Roman"/>
          <w:sz w:val="24"/>
          <w:szCs w:val="24"/>
          <w:lang w:val="en-GB"/>
        </w:rPr>
        <w:t>B</w:t>
      </w:r>
      <w:r w:rsidRPr="009533F3">
        <w:rPr>
          <w:rFonts w:ascii="PermianSerifTypeface" w:hAnsi="PermianSerifTypeface" w:cs="Times New Roman"/>
          <w:sz w:val="24"/>
          <w:szCs w:val="24"/>
          <w:lang w:val="en-GB"/>
        </w:rPr>
        <w:t xml:space="preserve">M will </w:t>
      </w:r>
      <w:proofErr w:type="gramStart"/>
      <w:r w:rsidRPr="009533F3">
        <w:rPr>
          <w:rFonts w:ascii="PermianSerifTypeface" w:hAnsi="PermianSerifTypeface" w:cs="Times New Roman"/>
          <w:sz w:val="24"/>
          <w:szCs w:val="24"/>
          <w:lang w:val="en-GB"/>
        </w:rPr>
        <w:t>take into account</w:t>
      </w:r>
      <w:proofErr w:type="gramEnd"/>
      <w:r w:rsidRPr="009533F3">
        <w:rPr>
          <w:rFonts w:ascii="PermianSerifTypeface" w:hAnsi="PermianSerifTypeface" w:cs="Times New Roman"/>
          <w:sz w:val="24"/>
          <w:szCs w:val="24"/>
          <w:lang w:val="en-GB"/>
        </w:rPr>
        <w:t xml:space="preserve"> all relevant circumstances, including those regulated by Article 26, paragraph (3) of Law </w:t>
      </w:r>
      <w:r>
        <w:rPr>
          <w:rFonts w:ascii="PermianSerifTypeface" w:hAnsi="PermianSerifTypeface" w:cs="Times New Roman"/>
          <w:sz w:val="24"/>
          <w:szCs w:val="24"/>
          <w:lang w:val="en-GB"/>
        </w:rPr>
        <w:t>N</w:t>
      </w:r>
      <w:r w:rsidRPr="009533F3">
        <w:rPr>
          <w:rFonts w:ascii="PermianSerifTypeface" w:hAnsi="PermianSerifTypeface" w:cs="Times New Roman"/>
          <w:sz w:val="24"/>
          <w:szCs w:val="24"/>
          <w:lang w:val="en-GB"/>
        </w:rPr>
        <w:t>o 234/2016 and Article 75</w:t>
      </w:r>
      <w:r w:rsidRPr="00030615">
        <w:rPr>
          <w:rFonts w:ascii="PermianSerifTypeface" w:hAnsi="PermianSerifTypeface" w:cs="Times New Roman"/>
          <w:sz w:val="24"/>
          <w:szCs w:val="24"/>
          <w:vertAlign w:val="superscript"/>
          <w:lang w:val="en-GB"/>
        </w:rPr>
        <w:t>2</w:t>
      </w:r>
      <w:r w:rsidRPr="009533F3">
        <w:rPr>
          <w:rFonts w:ascii="PermianSerifTypeface" w:hAnsi="PermianSerifTypeface" w:cs="Times New Roman"/>
          <w:sz w:val="24"/>
          <w:szCs w:val="24"/>
          <w:lang w:val="en-GB"/>
        </w:rPr>
        <w:t xml:space="preserve">, paragraph (5) of Law </w:t>
      </w:r>
      <w:r>
        <w:rPr>
          <w:rFonts w:ascii="PermianSerifTypeface" w:hAnsi="PermianSerifTypeface" w:cs="Times New Roman"/>
          <w:sz w:val="24"/>
          <w:szCs w:val="24"/>
          <w:lang w:val="en-GB"/>
        </w:rPr>
        <w:t>N</w:t>
      </w:r>
      <w:r w:rsidRPr="009533F3">
        <w:rPr>
          <w:rFonts w:ascii="PermianSerifTypeface" w:hAnsi="PermianSerifTypeface" w:cs="Times New Roman"/>
          <w:sz w:val="24"/>
          <w:szCs w:val="24"/>
          <w:lang w:val="en-GB"/>
        </w:rPr>
        <w:t>o 548/1995</w:t>
      </w:r>
      <w:r w:rsidR="004A7F86" w:rsidRPr="009533F3">
        <w:rPr>
          <w:rFonts w:ascii="PermianSerifTypeface" w:hAnsi="PermianSerifTypeface" w:cs="Times New Roman"/>
          <w:sz w:val="24"/>
          <w:szCs w:val="24"/>
          <w:lang w:val="en-GB"/>
        </w:rPr>
        <w:t>.</w:t>
      </w:r>
    </w:p>
    <w:p w14:paraId="719DD950" w14:textId="57E0D2E6" w:rsidR="00502F60" w:rsidRPr="009533F3" w:rsidRDefault="009533F3"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9533F3">
        <w:rPr>
          <w:rFonts w:ascii="PermianSerifTypeface" w:hAnsi="PermianSerifTypeface" w:cs="Times New Roman"/>
          <w:sz w:val="24"/>
          <w:szCs w:val="24"/>
          <w:lang w:val="en-GB"/>
        </w:rPr>
        <w:t>The decision regarding the application of the sanction and/or the issuance of prescriptions is notified to the Single Central Depository and/or, as applicable, to the persons concerned in the decision, in accordance with the provisions of points 4–7</w:t>
      </w:r>
      <w:r w:rsidR="00F94CDC" w:rsidRPr="009533F3">
        <w:rPr>
          <w:rFonts w:ascii="PermianSerifTypeface" w:hAnsi="PermianSerifTypeface" w:cs="Times New Roman"/>
          <w:sz w:val="24"/>
          <w:szCs w:val="24"/>
          <w:lang w:val="en-GB"/>
        </w:rPr>
        <w:t>.</w:t>
      </w:r>
      <w:r w:rsidR="00F94CDC" w:rsidRPr="009533F3">
        <w:rPr>
          <w:rFonts w:ascii="PermianSerifTypeface" w:hAnsi="PermianSerifTypeface" w:cs="Times New Roman"/>
          <w:b/>
          <w:bCs/>
          <w:sz w:val="24"/>
          <w:szCs w:val="24"/>
          <w:lang w:val="en-GB"/>
        </w:rPr>
        <w:t xml:space="preserve">  </w:t>
      </w:r>
    </w:p>
    <w:p w14:paraId="74F36536" w14:textId="34F3577E" w:rsidR="00502F60" w:rsidRPr="00C57F89" w:rsidRDefault="009533F3"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9533F3">
        <w:rPr>
          <w:rFonts w:ascii="PermianSerifTypeface" w:hAnsi="PermianSerifTypeface" w:cs="Times New Roman"/>
          <w:sz w:val="24"/>
          <w:szCs w:val="24"/>
          <w:lang w:val="en-GB"/>
        </w:rPr>
        <w:t>Information regarding the sanctions applied is published on the official website of the N</w:t>
      </w:r>
      <w:r>
        <w:rPr>
          <w:rFonts w:ascii="PermianSerifTypeface" w:hAnsi="PermianSerifTypeface" w:cs="Times New Roman"/>
          <w:sz w:val="24"/>
          <w:szCs w:val="24"/>
          <w:lang w:val="en-GB"/>
        </w:rPr>
        <w:t>B</w:t>
      </w:r>
      <w:r w:rsidRPr="009533F3">
        <w:rPr>
          <w:rFonts w:ascii="PermianSerifTypeface" w:hAnsi="PermianSerifTypeface" w:cs="Times New Roman"/>
          <w:sz w:val="24"/>
          <w:szCs w:val="24"/>
          <w:lang w:val="en-GB"/>
        </w:rPr>
        <w:t>M in accordance with the provisions of Article 75</w:t>
      </w:r>
      <w:r w:rsidRPr="00030615">
        <w:rPr>
          <w:rFonts w:ascii="PermianSerifTypeface" w:hAnsi="PermianSerifTypeface" w:cs="Times New Roman"/>
          <w:sz w:val="24"/>
          <w:szCs w:val="24"/>
          <w:vertAlign w:val="superscript"/>
          <w:lang w:val="en-GB"/>
        </w:rPr>
        <w:t>3</w:t>
      </w:r>
      <w:r w:rsidRPr="009533F3">
        <w:rPr>
          <w:rFonts w:ascii="PermianSerifTypeface" w:hAnsi="PermianSerifTypeface" w:cs="Times New Roman"/>
          <w:sz w:val="24"/>
          <w:szCs w:val="24"/>
          <w:lang w:val="en-GB"/>
        </w:rPr>
        <w:t xml:space="preserve"> of Law </w:t>
      </w:r>
      <w:r>
        <w:rPr>
          <w:rFonts w:ascii="PermianSerifTypeface" w:hAnsi="PermianSerifTypeface" w:cs="Times New Roman"/>
          <w:sz w:val="24"/>
          <w:szCs w:val="24"/>
          <w:lang w:val="en-GB"/>
        </w:rPr>
        <w:t>N</w:t>
      </w:r>
      <w:r w:rsidRPr="009533F3">
        <w:rPr>
          <w:rFonts w:ascii="PermianSerifTypeface" w:hAnsi="PermianSerifTypeface" w:cs="Times New Roman"/>
          <w:sz w:val="24"/>
          <w:szCs w:val="24"/>
          <w:lang w:val="en-GB"/>
        </w:rPr>
        <w:t>o 548/1995</w:t>
      </w:r>
      <w:r w:rsidR="00F94CDC" w:rsidRPr="00C57F89">
        <w:rPr>
          <w:rFonts w:ascii="PermianSerifTypeface" w:hAnsi="PermianSerifTypeface" w:cs="Times New Roman"/>
          <w:sz w:val="24"/>
          <w:szCs w:val="24"/>
          <w:lang w:val="en-GB"/>
        </w:rPr>
        <w:t>.</w:t>
      </w:r>
    </w:p>
    <w:p w14:paraId="105A13AB" w14:textId="6099C645" w:rsidR="00502F60" w:rsidRPr="00C57F89" w:rsidRDefault="009533F3"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9533F3">
        <w:rPr>
          <w:rFonts w:ascii="PermianSerifTypeface" w:hAnsi="PermianSerifTypeface" w:cs="Times New Roman"/>
          <w:sz w:val="24"/>
          <w:szCs w:val="24"/>
          <w:lang w:val="en-GB"/>
        </w:rPr>
        <w:t xml:space="preserve">The NBM shall have the right to address recommendations to the Single Central Depository, participants, or the entity to which the activities and services of the Single Central Depository have been outsourced, </w:t>
      </w:r>
      <w:proofErr w:type="gramStart"/>
      <w:r w:rsidRPr="009533F3">
        <w:rPr>
          <w:rFonts w:ascii="PermianSerifTypeface" w:hAnsi="PermianSerifTypeface" w:cs="Times New Roman"/>
          <w:sz w:val="24"/>
          <w:szCs w:val="24"/>
          <w:lang w:val="en-GB"/>
        </w:rPr>
        <w:t>in order to</w:t>
      </w:r>
      <w:proofErr w:type="gramEnd"/>
      <w:r w:rsidRPr="009533F3">
        <w:rPr>
          <w:rFonts w:ascii="PermianSerifTypeface" w:hAnsi="PermianSerifTypeface" w:cs="Times New Roman"/>
          <w:sz w:val="24"/>
          <w:szCs w:val="24"/>
          <w:lang w:val="en-GB"/>
        </w:rPr>
        <w:t xml:space="preserve"> request compliance </w:t>
      </w:r>
      <w:r w:rsidRPr="009533F3">
        <w:rPr>
          <w:rFonts w:ascii="PermianSerifTypeface" w:hAnsi="PermianSerifTypeface" w:cs="Times New Roman"/>
          <w:sz w:val="24"/>
          <w:szCs w:val="24"/>
          <w:lang w:val="en-GB"/>
        </w:rPr>
        <w:lastRenderedPageBreak/>
        <w:t>with the legal provisions, in accordance with Article 26, paragraph (1) of Law No 234/2016.</w:t>
      </w:r>
    </w:p>
    <w:p w14:paraId="3E38B80B" w14:textId="40DEE2ED" w:rsidR="00502F60" w:rsidRPr="00C57F89" w:rsidRDefault="00516485"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516485">
        <w:rPr>
          <w:rFonts w:ascii="PermianSerifTypeface" w:hAnsi="PermianSerifTypeface" w:cs="Times New Roman"/>
          <w:sz w:val="24"/>
          <w:szCs w:val="24"/>
          <w:lang w:val="en-GB"/>
        </w:rPr>
        <w:t>The NBM has the right to request the Single Central Depository to take the necessary actions or measures to remedy the situation, in accordance with Article 23, paragraph (6) of Law No 234/2016</w:t>
      </w:r>
      <w:r w:rsidR="008B603A" w:rsidRPr="00C57F89">
        <w:rPr>
          <w:rFonts w:ascii="PermianSerifTypeface" w:hAnsi="PermianSerifTypeface" w:cs="Times New Roman"/>
          <w:sz w:val="24"/>
          <w:szCs w:val="24"/>
          <w:lang w:val="en-GB"/>
        </w:rPr>
        <w:t>.</w:t>
      </w:r>
    </w:p>
    <w:p w14:paraId="1F112F72" w14:textId="44B4A138" w:rsidR="008B603A" w:rsidRPr="00C57F89" w:rsidRDefault="00516485" w:rsidP="00D777E4">
      <w:pPr>
        <w:pStyle w:val="ListParagraph"/>
        <w:numPr>
          <w:ilvl w:val="0"/>
          <w:numId w:val="22"/>
        </w:numPr>
        <w:tabs>
          <w:tab w:val="left" w:pos="993"/>
        </w:tabs>
        <w:spacing w:after="0" w:line="276" w:lineRule="auto"/>
        <w:ind w:left="0" w:firstLine="567"/>
        <w:jc w:val="both"/>
        <w:rPr>
          <w:rFonts w:ascii="PermianSerifTypeface" w:hAnsi="PermianSerifTypeface" w:cs="Times New Roman"/>
          <w:sz w:val="24"/>
          <w:szCs w:val="24"/>
          <w:lang w:val="en-GB"/>
        </w:rPr>
      </w:pPr>
      <w:r w:rsidRPr="00516485">
        <w:rPr>
          <w:rFonts w:ascii="PermianSerifTypeface" w:hAnsi="PermianSerifTypeface" w:cs="Times New Roman"/>
          <w:sz w:val="24"/>
          <w:szCs w:val="24"/>
          <w:lang w:val="en-GB"/>
        </w:rPr>
        <w:t>At the request of the NBM, the Single Central Depository is required to approve and submit to the NBM a recovery plan to ensure the continuity of the Single Central Depository's activities. The deadline, format, and minimum requirements for the content of the recovery plan will be specified in the NBM's request</w:t>
      </w:r>
      <w:r w:rsidR="008B603A" w:rsidRPr="00C57F89">
        <w:rPr>
          <w:rFonts w:ascii="PermianSerifTypeface" w:hAnsi="PermianSerifTypeface" w:cs="Times New Roman"/>
          <w:sz w:val="24"/>
          <w:szCs w:val="24"/>
          <w:lang w:val="en-GB"/>
        </w:rPr>
        <w:t>.</w:t>
      </w:r>
    </w:p>
    <w:p w14:paraId="7CC96700" w14:textId="3CBEBB97" w:rsidR="00CA3735" w:rsidRPr="00C57F89" w:rsidRDefault="00CA3735" w:rsidP="00D777E4">
      <w:pPr>
        <w:pStyle w:val="ListParagraph"/>
        <w:tabs>
          <w:tab w:val="left" w:pos="851"/>
        </w:tabs>
        <w:spacing w:line="276" w:lineRule="auto"/>
        <w:ind w:left="709" w:firstLine="567"/>
        <w:jc w:val="both"/>
        <w:rPr>
          <w:rFonts w:ascii="PermianSerifTypeface" w:hAnsi="PermianSerifTypeface" w:cs="Times New Roman"/>
          <w:sz w:val="24"/>
          <w:szCs w:val="24"/>
          <w:lang w:val="en-GB"/>
        </w:rPr>
      </w:pPr>
    </w:p>
    <w:sectPr w:rsidR="00CA3735" w:rsidRPr="00C57F89">
      <w:headerReference w:type="even" r:id="rId9"/>
      <w:headerReference w:type="default" r:id="rId10"/>
      <w:footerReference w:type="even"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FDD3D" w14:textId="77777777" w:rsidR="00E10CE0" w:rsidRDefault="00E10CE0" w:rsidP="003548C7">
      <w:pPr>
        <w:spacing w:after="0" w:line="240" w:lineRule="auto"/>
      </w:pPr>
      <w:r>
        <w:separator/>
      </w:r>
    </w:p>
  </w:endnote>
  <w:endnote w:type="continuationSeparator" w:id="0">
    <w:p w14:paraId="6B6781FA" w14:textId="77777777" w:rsidR="00E10CE0" w:rsidRDefault="00E10CE0" w:rsidP="003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mianSerifTypeface">
    <w:altName w:val="Permian Serif 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A8B5" w14:textId="11D47AD2" w:rsidR="003548C7" w:rsidRDefault="003548C7">
    <w:pPr>
      <w:pStyle w:val="Footer"/>
    </w:pPr>
    <w:r>
      <w:rPr>
        <w:noProof/>
      </w:rPr>
      <mc:AlternateContent>
        <mc:Choice Requires="wps">
          <w:drawing>
            <wp:anchor distT="0" distB="0" distL="0" distR="0" simplePos="0" relativeHeight="251662336" behindDoc="0" locked="0" layoutInCell="1" allowOverlap="1" wp14:anchorId="1F788363" wp14:editId="673C100C">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88363"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65B04FA2" w14:textId="37EBF07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579" w14:textId="323AD552" w:rsidR="003548C7" w:rsidRDefault="003548C7">
    <w:pPr>
      <w:pStyle w:val="Footer"/>
    </w:pPr>
    <w:r>
      <w:rPr>
        <w:noProof/>
      </w:rPr>
      <mc:AlternateContent>
        <mc:Choice Requires="wps">
          <w:drawing>
            <wp:anchor distT="0" distB="0" distL="0" distR="0" simplePos="0" relativeHeight="251661312" behindDoc="0" locked="0" layoutInCell="1" allowOverlap="1" wp14:anchorId="16167D83" wp14:editId="6FE8D945">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67D83"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sGRCgIAABw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etZUVHzqfgfViYZCGPbtnVw3VHojfHgWSAumOUi04YkO baArOYyIsxrwx9/sMZ54Jy9nHQmm5JYUzZn5ZmkfUVsTwAnsEpjf5lc5+e2hvQeS4ZxehJMJkhWD maBGaF9JzqtYiFzCSipX8t0E78OgXHoOUq1WKYhk5ETY2K2TMXWkK3L50r8KdCPhgTb1CJOaRPGO 9yE23vRudQjEflpKpHYgcmScJJjWOj6XqPFf/1PU+VEvfwI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l7BkQoCAAAcBAAADgAA AAAAAAAAAAAAAAAuAgAAZHJzL2Uyb0RvYy54bWxQSwECLQAUAAYACAAAACEAN+3R+NkAAAADAQAA DwAAAAAAAAAAAAAAAABkBAAAZHJzL2Rvd25yZXYueG1sUEsFBgAAAAAEAAQA8wAAAGoFAAAAAA== " filled="f" stroked="f">
              <v:textbox style="mso-fit-shape-to-text:t" inset="0,0,0,15pt">
                <w:txbxContent>
                  <w:p w14:paraId="7F9CD7A1" w14:textId="3F0930E7" w:rsidR="003548C7" w:rsidRPr="003548C7" w:rsidRDefault="003548C7" w:rsidP="003548C7">
                    <w:pPr>
                      <w:spacing w:after="0"/>
                      <w:rPr>
                        <w:rFonts w:ascii="Calibri" w:eastAsia="Calibri" w:hAnsi="Calibri" w:cs="Calibri"/>
                        <w:noProof/>
                        <w:color w:val="000000"/>
                        <w:sz w:val="16"/>
                        <w:szCs w:val="16"/>
                      </w:rPr>
                    </w:pPr>
                    <w:r w:rsidRPr="003548C7">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17E8" w14:textId="77777777" w:rsidR="00E10CE0" w:rsidRDefault="00E10CE0" w:rsidP="003548C7">
      <w:pPr>
        <w:spacing w:after="0" w:line="240" w:lineRule="auto"/>
      </w:pPr>
      <w:r>
        <w:separator/>
      </w:r>
    </w:p>
  </w:footnote>
  <w:footnote w:type="continuationSeparator" w:id="0">
    <w:p w14:paraId="3DB7CBB1" w14:textId="77777777" w:rsidR="00E10CE0" w:rsidRDefault="00E10CE0" w:rsidP="0035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A29C" w14:textId="248F18C9" w:rsidR="003548C7" w:rsidRDefault="003548C7">
    <w:pPr>
      <w:pStyle w:val="Header"/>
    </w:pPr>
    <w:r>
      <w:rPr>
        <w:noProof/>
      </w:rPr>
      <mc:AlternateContent>
        <mc:Choice Requires="wps">
          <w:drawing>
            <wp:anchor distT="0" distB="0" distL="0" distR="0" simplePos="0" relativeHeight="251659264" behindDoc="0" locked="0" layoutInCell="1" allowOverlap="1" wp14:anchorId="20B6A8EB" wp14:editId="7B5F91A2">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0B6A8EB"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BA55A67" w14:textId="418A0958"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C4F" w14:textId="190BE7ED" w:rsidR="003548C7" w:rsidRDefault="003548C7">
    <w:pPr>
      <w:pStyle w:val="Header"/>
    </w:pPr>
    <w:r>
      <w:rPr>
        <w:noProof/>
      </w:rPr>
      <mc:AlternateContent>
        <mc:Choice Requires="wps">
          <w:drawing>
            <wp:anchor distT="0" distB="0" distL="0" distR="0" simplePos="0" relativeHeight="251660288" behindDoc="0" locked="0" layoutInCell="1" allowOverlap="1" wp14:anchorId="78CD22F2" wp14:editId="5F621209">
              <wp:simplePos x="1076325" y="44767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CD22F2"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68DB316E" w14:textId="38417D93" w:rsidR="003548C7" w:rsidRPr="003548C7" w:rsidRDefault="003548C7" w:rsidP="003548C7">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AF6F" w14:textId="1D1CF342" w:rsidR="003548C7" w:rsidRDefault="003548C7">
    <w:pPr>
      <w:pStyle w:val="Header"/>
    </w:pPr>
    <w:r>
      <w:rPr>
        <w:noProof/>
      </w:rPr>
      <mc:AlternateContent>
        <mc:Choice Requires="wps">
          <w:drawing>
            <wp:anchor distT="0" distB="0" distL="0" distR="0" simplePos="0" relativeHeight="251658240" behindDoc="0" locked="0" layoutInCell="1" allowOverlap="1" wp14:anchorId="7AACF4ED" wp14:editId="2EDF00C3">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ACF4ED"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KnDwIAACEEAAAOAAAAZHJzL2Uyb0RvYy54bWysU11v2yAUfZ+0/4B4X+ykSdVZcaqsVaZJ UVspnfpMMMSWgIuAxM5+/S7YTrZuT9Ne8P3y5d5zDsv7TityEs43YEo6neSUCMOhasyhpN9fN5/u KPGBmYopMKKkZ+Hp/erjh2VrCzGDGlQlHMEmxhetLWkdgi2yzPNaaOYnYIXBpASnWUDXHbLKsRa7 a5XN8vw2a8FV1gEX3mP0sU/SVeovpeDhWUovAlElxdlCOl069/HMVktWHByzdcOHMdg/TKFZY/DS S6tHFhg5uuaPVrrhDjzIMOGgM5Cy4SLtgNtM83fb7GpmRdoFwfH2ApP/f23502lnXxwJ3RfokMAI SGt94TEY9+mk0/GLkxLMI4TnC2yiC4RjcD6/ubtdUMIxNdjYJbv+bJ0PXwVoEo2SOmQlgcVOWx/6 0rEk3mVg0yiVmFHmtwD2jJHsOmG0QrfvSFOV9Gacfg/VGZdy0PPtLd80ePWW+fDCHBKMe6BowzMe UkFbUhgsSmpwP/4Wj/WIO2YpaVEwJTWoaErUN4N8RG0lY/o5X+ToueTNFvM8evuxyBz1A6AWp/gs LE9mLA5qNKUD/YaaXsfbMMUMxztLGkbzIfTyxTfBxXqdilBLloWt2VkeW0fMIqCv3RtzdkA9IF1P MEqKFe/A72vjn96ujwEpSMxEfHs0B9hRh4nb4c1Eof/qp6rry179BA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vjQCpw8CAAAh BAAADgAAAAAAAAAAAAAAAAAuAgAAZHJzL2Uyb0RvYy54bWxQSwECLQAUAAYACAAAACEAd1eEQtoA AAADAQAADwAAAAAAAAAAAAAAAABpBAAAZHJzL2Rvd25yZXYueG1sUEsFBgAAAAAEAAQA8wAAAHAF AAAAAA== " filled="f" stroked="f">
              <v:textbox style="mso-fit-shape-to-text:t" inset="0,15pt,20pt,0">
                <w:txbxContent>
                  <w:p w14:paraId="7067F06F" w14:textId="5E7FCDE1" w:rsidR="003548C7" w:rsidRPr="003548C7" w:rsidRDefault="003548C7" w:rsidP="003548C7">
                    <w:pPr>
                      <w:spacing w:after="0"/>
                      <w:rPr>
                        <w:rFonts w:ascii="Calibri" w:eastAsia="Calibri" w:hAnsi="Calibri" w:cs="Calibri"/>
                        <w:noProof/>
                        <w:color w:val="000000"/>
                        <w:sz w:val="24"/>
                        <w:szCs w:val="24"/>
                      </w:rPr>
                    </w:pPr>
                    <w:r w:rsidRPr="003548C7">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8B4"/>
    <w:multiLevelType w:val="hybridMultilevel"/>
    <w:tmpl w:val="F73C50E8"/>
    <w:lvl w:ilvl="0" w:tplc="669A7726">
      <w:start w:val="1"/>
      <w:numFmt w:val="decimal"/>
      <w:lvlText w:val="20.%1."/>
      <w:lvlJc w:val="left"/>
      <w:pPr>
        <w:ind w:left="1440" w:hanging="360"/>
      </w:pPr>
      <w:rPr>
        <w:rFonts w:hint="default"/>
        <w:b/>
        <w:bCs/>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 w15:restartNumberingAfterBreak="0">
    <w:nsid w:val="0E382DFF"/>
    <w:multiLevelType w:val="multilevel"/>
    <w:tmpl w:val="9190E9F0"/>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B5643E"/>
    <w:multiLevelType w:val="multilevel"/>
    <w:tmpl w:val="E536C3C0"/>
    <w:lvl w:ilvl="0">
      <w:start w:val="9"/>
      <w:numFmt w:val="decimal"/>
      <w:lvlText w:val="%1"/>
      <w:lvlJc w:val="left"/>
      <w:pPr>
        <w:ind w:left="360" w:hanging="360"/>
      </w:pPr>
      <w:rPr>
        <w:rFonts w:hint="default"/>
      </w:rPr>
    </w:lvl>
    <w:lvl w:ilvl="1">
      <w:start w:val="2"/>
      <w:numFmt w:val="decimal"/>
      <w:lvlText w:val="8.%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4758C1"/>
    <w:multiLevelType w:val="hybridMultilevel"/>
    <w:tmpl w:val="7FAA23B4"/>
    <w:lvl w:ilvl="0" w:tplc="1A58FB08">
      <w:start w:val="1"/>
      <w:numFmt w:val="decimal"/>
      <w:lvlText w:val="9.%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10FE7"/>
    <w:multiLevelType w:val="multilevel"/>
    <w:tmpl w:val="421CB562"/>
    <w:lvl w:ilvl="0">
      <w:start w:val="24"/>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DC80BD2"/>
    <w:multiLevelType w:val="multilevel"/>
    <w:tmpl w:val="BE706D36"/>
    <w:lvl w:ilvl="0">
      <w:start w:val="23"/>
      <w:numFmt w:val="decimal"/>
      <w:lvlText w:val="%1"/>
      <w:lvlJc w:val="left"/>
      <w:pPr>
        <w:ind w:left="420" w:hanging="420"/>
      </w:pPr>
      <w:rPr>
        <w:rFonts w:hint="default"/>
      </w:rPr>
    </w:lvl>
    <w:lvl w:ilvl="1">
      <w:start w:val="1"/>
      <w:numFmt w:val="decimal"/>
      <w:lvlText w:val="%1.%2."/>
      <w:lvlJc w:val="left"/>
      <w:pPr>
        <w:ind w:left="988"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5D26D41"/>
    <w:multiLevelType w:val="multilevel"/>
    <w:tmpl w:val="3E2A2EB0"/>
    <w:lvl w:ilvl="0">
      <w:start w:val="9"/>
      <w:numFmt w:val="decimal"/>
      <w:lvlText w:val="%1."/>
      <w:lvlJc w:val="left"/>
      <w:pPr>
        <w:ind w:left="2100" w:hanging="540"/>
      </w:pPr>
      <w:rPr>
        <w:rFonts w:hint="default"/>
        <w:b/>
        <w:bCs/>
      </w:rPr>
    </w:lvl>
    <w:lvl w:ilvl="1">
      <w:start w:val="2"/>
      <w:numFmt w:val="decimal"/>
      <w:lvlText w:val="%1.%2."/>
      <w:lvlJc w:val="left"/>
      <w:pPr>
        <w:ind w:left="823" w:hanging="540"/>
      </w:pPr>
      <w:rPr>
        <w:rFonts w:hint="default"/>
      </w:rPr>
    </w:lvl>
    <w:lvl w:ilvl="2">
      <w:start w:val="1"/>
      <w:numFmt w:val="decimal"/>
      <w:lvlText w:val="%1.%2.%3."/>
      <w:lvlJc w:val="left"/>
      <w:pPr>
        <w:ind w:left="1571"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64D53EE"/>
    <w:multiLevelType w:val="hybridMultilevel"/>
    <w:tmpl w:val="EDA47260"/>
    <w:lvl w:ilvl="0" w:tplc="314CBC54">
      <w:start w:val="1"/>
      <w:numFmt w:val="decimal"/>
      <w:lvlText w:val="%1."/>
      <w:lvlJc w:val="left"/>
      <w:pPr>
        <w:ind w:left="928" w:hanging="360"/>
      </w:pPr>
      <w:rPr>
        <w:b/>
        <w:bCs/>
      </w:rPr>
    </w:lvl>
    <w:lvl w:ilvl="1" w:tplc="176CE52C">
      <w:start w:val="1"/>
      <w:numFmt w:val="lowerLetter"/>
      <w:lvlText w:val="%2)"/>
      <w:lvlJc w:val="left"/>
      <w:pPr>
        <w:ind w:left="1440" w:hanging="360"/>
      </w:pPr>
      <w:rPr>
        <w:rFonts w:hint="default"/>
      </w:rPr>
    </w:lvl>
    <w:lvl w:ilvl="2" w:tplc="73702E18">
      <w:start w:val="1"/>
      <w:numFmt w:val="decimal"/>
      <w:lvlText w:val="9.1.%3"/>
      <w:lvlJc w:val="left"/>
      <w:pPr>
        <w:ind w:left="1353" w:hanging="360"/>
      </w:pPr>
      <w:rPr>
        <w:rFonts w:hint="default"/>
        <w:b/>
        <w:bCs/>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0024639"/>
    <w:multiLevelType w:val="hybridMultilevel"/>
    <w:tmpl w:val="8E70FF6C"/>
    <w:lvl w:ilvl="0" w:tplc="45B0BCC4">
      <w:start w:val="11"/>
      <w:numFmt w:val="decimal"/>
      <w:lvlText w:val="%1."/>
      <w:lvlJc w:val="left"/>
      <w:pPr>
        <w:ind w:left="786"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1B44592"/>
    <w:multiLevelType w:val="multilevel"/>
    <w:tmpl w:val="D31C7742"/>
    <w:lvl w:ilvl="0">
      <w:start w:val="8"/>
      <w:numFmt w:val="decimal"/>
      <w:lvlText w:val="%1."/>
      <w:lvlJc w:val="left"/>
      <w:pPr>
        <w:ind w:left="540" w:hanging="540"/>
      </w:pPr>
      <w:rPr>
        <w:rFonts w:eastAsia="Times New Roman" w:hint="default"/>
      </w:rPr>
    </w:lvl>
    <w:lvl w:ilvl="1">
      <w:start w:val="1"/>
      <w:numFmt w:val="decimal"/>
      <w:lvlText w:val="%1.%2."/>
      <w:lvlJc w:val="left"/>
      <w:pPr>
        <w:ind w:left="894" w:hanging="540"/>
      </w:pPr>
      <w:rPr>
        <w:rFonts w:eastAsia="Times New Roman" w:hint="default"/>
      </w:rPr>
    </w:lvl>
    <w:lvl w:ilvl="2">
      <w:start w:val="1"/>
      <w:numFmt w:val="decimal"/>
      <w:lvlText w:val="%1.%2.%3."/>
      <w:lvlJc w:val="left"/>
      <w:pPr>
        <w:ind w:left="1428" w:hanging="720"/>
      </w:pPr>
      <w:rPr>
        <w:rFonts w:eastAsia="Times New Roman" w:hint="default"/>
        <w:b/>
        <w:bCs/>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0" w15:restartNumberingAfterBreak="0">
    <w:nsid w:val="43C46C9B"/>
    <w:multiLevelType w:val="multilevel"/>
    <w:tmpl w:val="72E05FD8"/>
    <w:lvl w:ilvl="0">
      <w:start w:val="8"/>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2279"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58A0EDA"/>
    <w:multiLevelType w:val="hybridMultilevel"/>
    <w:tmpl w:val="4B7AE808"/>
    <w:lvl w:ilvl="0" w:tplc="25FECCAE">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46270DE9"/>
    <w:multiLevelType w:val="multilevel"/>
    <w:tmpl w:val="35209C9C"/>
    <w:lvl w:ilvl="0">
      <w:start w:val="1"/>
      <w:numFmt w:val="decimal"/>
      <w:lvlText w:val="%1."/>
      <w:lvlJc w:val="left"/>
      <w:pPr>
        <w:ind w:left="1070" w:hanging="360"/>
      </w:pPr>
      <w:rPr>
        <w:b/>
      </w:rPr>
    </w:lvl>
    <w:lvl w:ilvl="1">
      <w:start w:val="1"/>
      <w:numFmt w:val="decimal"/>
      <w:lvlText w:val="22.%2."/>
      <w:lvlJc w:val="left"/>
      <w:pPr>
        <w:ind w:left="1440" w:hanging="360"/>
      </w:pPr>
      <w:rPr>
        <w:rFonts w:hint="default"/>
        <w:b/>
        <w:bCs/>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B985D8F"/>
    <w:multiLevelType w:val="hybridMultilevel"/>
    <w:tmpl w:val="F7EE1564"/>
    <w:lvl w:ilvl="0" w:tplc="68249A9A">
      <w:start w:val="36"/>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0E7F6C"/>
    <w:multiLevelType w:val="multilevel"/>
    <w:tmpl w:val="83E0B9DC"/>
    <w:lvl w:ilvl="0">
      <w:start w:val="1"/>
      <w:numFmt w:val="decimal"/>
      <w:lvlText w:val="35.%1."/>
      <w:lvlJc w:val="left"/>
      <w:pPr>
        <w:ind w:left="1353" w:hanging="360"/>
      </w:pPr>
      <w:rPr>
        <w:rFonts w:hint="default"/>
        <w:b/>
      </w:rPr>
    </w:lvl>
    <w:lvl w:ilvl="1">
      <w:start w:val="29"/>
      <w:numFmt w:val="decimal"/>
      <w:lvlText w:val="%2."/>
      <w:lvlJc w:val="left"/>
      <w:pPr>
        <w:ind w:left="1636" w:hanging="360"/>
      </w:pPr>
      <w:rPr>
        <w:rFonts w:hint="default"/>
        <w:b/>
        <w:bCs/>
      </w:rPr>
    </w:lvl>
    <w:lvl w:ilvl="2">
      <w:start w:val="1"/>
      <w:numFmt w:val="lowerLetter"/>
      <w:lvlText w:val="%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443" w:hanging="180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803" w:hanging="2160"/>
      </w:pPr>
      <w:rPr>
        <w:rFonts w:hint="default"/>
      </w:rPr>
    </w:lvl>
  </w:abstractNum>
  <w:abstractNum w:abstractNumId="15" w15:restartNumberingAfterBreak="0">
    <w:nsid w:val="5A0C4C73"/>
    <w:multiLevelType w:val="multilevel"/>
    <w:tmpl w:val="60587622"/>
    <w:lvl w:ilvl="0">
      <w:start w:val="9"/>
      <w:numFmt w:val="decimal"/>
      <w:lvlText w:val="%1."/>
      <w:lvlJc w:val="left"/>
      <w:pPr>
        <w:ind w:left="360" w:hanging="360"/>
      </w:pPr>
      <w:rPr>
        <w:rFonts w:ascii="Arial" w:eastAsia="Times New Roman" w:hAnsi="Arial" w:cstheme="minorBidi" w:hint="default"/>
        <w:b w:val="0"/>
        <w:sz w:val="22"/>
      </w:rPr>
    </w:lvl>
    <w:lvl w:ilvl="1">
      <w:start w:val="1"/>
      <w:numFmt w:val="decimal"/>
      <w:lvlText w:val="8.%2."/>
      <w:lvlJc w:val="left"/>
      <w:pPr>
        <w:ind w:left="1069" w:hanging="360"/>
      </w:pPr>
      <w:rPr>
        <w:rFonts w:ascii="Times New Roman" w:eastAsia="Times New Roman" w:hAnsi="Times New Roman" w:cs="Times New Roman" w:hint="default"/>
        <w:b/>
        <w:bCs w:val="0"/>
        <w:sz w:val="24"/>
        <w:szCs w:val="24"/>
      </w:rPr>
    </w:lvl>
    <w:lvl w:ilvl="2">
      <w:start w:val="1"/>
      <w:numFmt w:val="decimal"/>
      <w:lvlText w:val="%1.%2.%3."/>
      <w:lvlJc w:val="left"/>
      <w:pPr>
        <w:ind w:left="2138" w:hanging="720"/>
      </w:pPr>
      <w:rPr>
        <w:rFonts w:ascii="Times New Roman" w:eastAsia="Times New Roman" w:hAnsi="Times New Roman" w:cs="Times New Roman" w:hint="default"/>
        <w:b/>
        <w:bCs/>
        <w:sz w:val="24"/>
        <w:szCs w:val="24"/>
      </w:rPr>
    </w:lvl>
    <w:lvl w:ilvl="3">
      <w:start w:val="1"/>
      <w:numFmt w:val="decimal"/>
      <w:lvlText w:val="%1.%2.%3.%4."/>
      <w:lvlJc w:val="left"/>
      <w:pPr>
        <w:ind w:left="2847" w:hanging="720"/>
      </w:pPr>
      <w:rPr>
        <w:rFonts w:ascii="Arial" w:eastAsia="Times New Roman" w:hAnsi="Arial" w:cstheme="minorBidi" w:hint="default"/>
        <w:b w:val="0"/>
        <w:sz w:val="22"/>
      </w:rPr>
    </w:lvl>
    <w:lvl w:ilvl="4">
      <w:start w:val="1"/>
      <w:numFmt w:val="decimal"/>
      <w:lvlText w:val="%1.%2.%3.%4.%5."/>
      <w:lvlJc w:val="left"/>
      <w:pPr>
        <w:ind w:left="3916" w:hanging="1080"/>
      </w:pPr>
      <w:rPr>
        <w:rFonts w:ascii="Arial" w:eastAsia="Times New Roman" w:hAnsi="Arial" w:cstheme="minorBidi" w:hint="default"/>
        <w:b w:val="0"/>
        <w:sz w:val="22"/>
      </w:rPr>
    </w:lvl>
    <w:lvl w:ilvl="5">
      <w:start w:val="1"/>
      <w:numFmt w:val="decimal"/>
      <w:lvlText w:val="%1.%2.%3.%4.%5.%6."/>
      <w:lvlJc w:val="left"/>
      <w:pPr>
        <w:ind w:left="4625" w:hanging="1080"/>
      </w:pPr>
      <w:rPr>
        <w:rFonts w:ascii="Arial" w:eastAsia="Times New Roman" w:hAnsi="Arial" w:cstheme="minorBidi" w:hint="default"/>
        <w:b w:val="0"/>
        <w:sz w:val="22"/>
      </w:rPr>
    </w:lvl>
    <w:lvl w:ilvl="6">
      <w:start w:val="1"/>
      <w:numFmt w:val="decimal"/>
      <w:lvlText w:val="%1.%2.%3.%4.%5.%6.%7."/>
      <w:lvlJc w:val="left"/>
      <w:pPr>
        <w:ind w:left="5694" w:hanging="1440"/>
      </w:pPr>
      <w:rPr>
        <w:rFonts w:ascii="Arial" w:eastAsia="Times New Roman" w:hAnsi="Arial" w:cstheme="minorBidi" w:hint="default"/>
        <w:b w:val="0"/>
        <w:sz w:val="22"/>
      </w:rPr>
    </w:lvl>
    <w:lvl w:ilvl="7">
      <w:start w:val="1"/>
      <w:numFmt w:val="decimal"/>
      <w:lvlText w:val="%1.%2.%3.%4.%5.%6.%7.%8."/>
      <w:lvlJc w:val="left"/>
      <w:pPr>
        <w:ind w:left="6403" w:hanging="1440"/>
      </w:pPr>
      <w:rPr>
        <w:rFonts w:ascii="Arial" w:eastAsia="Times New Roman" w:hAnsi="Arial" w:cstheme="minorBidi" w:hint="default"/>
        <w:b w:val="0"/>
        <w:sz w:val="22"/>
      </w:rPr>
    </w:lvl>
    <w:lvl w:ilvl="8">
      <w:start w:val="1"/>
      <w:numFmt w:val="decimal"/>
      <w:lvlText w:val="%1.%2.%3.%4.%5.%6.%7.%8.%9."/>
      <w:lvlJc w:val="left"/>
      <w:pPr>
        <w:ind w:left="7472" w:hanging="1800"/>
      </w:pPr>
      <w:rPr>
        <w:rFonts w:ascii="Arial" w:eastAsia="Times New Roman" w:hAnsi="Arial" w:cstheme="minorBidi" w:hint="default"/>
        <w:b w:val="0"/>
        <w:sz w:val="22"/>
      </w:rPr>
    </w:lvl>
  </w:abstractNum>
  <w:abstractNum w:abstractNumId="16" w15:restartNumberingAfterBreak="0">
    <w:nsid w:val="5A843877"/>
    <w:multiLevelType w:val="hybridMultilevel"/>
    <w:tmpl w:val="FF088BE8"/>
    <w:lvl w:ilvl="0" w:tplc="FC284914">
      <w:start w:val="24"/>
      <w:numFmt w:val="decimal"/>
      <w:lvlText w:val="%1."/>
      <w:lvlJc w:val="left"/>
      <w:pPr>
        <w:ind w:left="108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62146D50"/>
    <w:multiLevelType w:val="multilevel"/>
    <w:tmpl w:val="1A36F32A"/>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F2BA9"/>
    <w:multiLevelType w:val="multilevel"/>
    <w:tmpl w:val="F9140B6C"/>
    <w:lvl w:ilvl="0">
      <w:start w:val="8"/>
      <w:numFmt w:val="decimal"/>
      <w:lvlText w:val="%1."/>
      <w:lvlJc w:val="left"/>
      <w:pPr>
        <w:ind w:left="720" w:hanging="7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0" w15:restartNumberingAfterBreak="0">
    <w:nsid w:val="73BB2BFF"/>
    <w:multiLevelType w:val="hybridMultilevel"/>
    <w:tmpl w:val="DBC83170"/>
    <w:lvl w:ilvl="0" w:tplc="C2386764">
      <w:start w:val="1"/>
      <w:numFmt w:val="decimal"/>
      <w:lvlText w:val="23.%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B74EB0"/>
    <w:multiLevelType w:val="multilevel"/>
    <w:tmpl w:val="22B4B08E"/>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8805288">
    <w:abstractNumId w:val="7"/>
  </w:num>
  <w:num w:numId="2" w16cid:durableId="16007768">
    <w:abstractNumId w:val="14"/>
  </w:num>
  <w:num w:numId="3" w16cid:durableId="1484001908">
    <w:abstractNumId w:val="3"/>
  </w:num>
  <w:num w:numId="4" w16cid:durableId="863979173">
    <w:abstractNumId w:val="20"/>
  </w:num>
  <w:num w:numId="5" w16cid:durableId="1697729797">
    <w:abstractNumId w:val="12"/>
  </w:num>
  <w:num w:numId="6" w16cid:durableId="1750349780">
    <w:abstractNumId w:val="0"/>
  </w:num>
  <w:num w:numId="7" w16cid:durableId="1555389036">
    <w:abstractNumId w:val="19"/>
  </w:num>
  <w:num w:numId="8" w16cid:durableId="1398623061">
    <w:abstractNumId w:val="15"/>
  </w:num>
  <w:num w:numId="9" w16cid:durableId="1176118498">
    <w:abstractNumId w:val="2"/>
  </w:num>
  <w:num w:numId="10" w16cid:durableId="355470156">
    <w:abstractNumId w:val="9"/>
  </w:num>
  <w:num w:numId="11" w16cid:durableId="1770273187">
    <w:abstractNumId w:val="10"/>
  </w:num>
  <w:num w:numId="12" w16cid:durableId="1364791855">
    <w:abstractNumId w:val="18"/>
  </w:num>
  <w:num w:numId="13" w16cid:durableId="374893686">
    <w:abstractNumId w:val="8"/>
  </w:num>
  <w:num w:numId="14" w16cid:durableId="1840919714">
    <w:abstractNumId w:val="16"/>
  </w:num>
  <w:num w:numId="15" w16cid:durableId="488985236">
    <w:abstractNumId w:val="21"/>
  </w:num>
  <w:num w:numId="16" w16cid:durableId="1259831147">
    <w:abstractNumId w:val="6"/>
  </w:num>
  <w:num w:numId="17" w16cid:durableId="309480665">
    <w:abstractNumId w:val="11"/>
  </w:num>
  <w:num w:numId="18" w16cid:durableId="1707831537">
    <w:abstractNumId w:val="1"/>
  </w:num>
  <w:num w:numId="19" w16cid:durableId="1511260750">
    <w:abstractNumId w:val="5"/>
  </w:num>
  <w:num w:numId="20" w16cid:durableId="1710569302">
    <w:abstractNumId w:val="4"/>
  </w:num>
  <w:num w:numId="21" w16cid:durableId="1334993231">
    <w:abstractNumId w:val="17"/>
  </w:num>
  <w:num w:numId="22" w16cid:durableId="14057624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A"/>
    <w:rsid w:val="00001560"/>
    <w:rsid w:val="000036E7"/>
    <w:rsid w:val="00010F2B"/>
    <w:rsid w:val="00030615"/>
    <w:rsid w:val="00031EFA"/>
    <w:rsid w:val="00050493"/>
    <w:rsid w:val="000523BF"/>
    <w:rsid w:val="00056E79"/>
    <w:rsid w:val="00057090"/>
    <w:rsid w:val="000601A3"/>
    <w:rsid w:val="00064F73"/>
    <w:rsid w:val="00065A58"/>
    <w:rsid w:val="00067B5B"/>
    <w:rsid w:val="00070929"/>
    <w:rsid w:val="00074EA9"/>
    <w:rsid w:val="000764B1"/>
    <w:rsid w:val="0007777E"/>
    <w:rsid w:val="00083E19"/>
    <w:rsid w:val="000851E3"/>
    <w:rsid w:val="000914BD"/>
    <w:rsid w:val="000A2496"/>
    <w:rsid w:val="000B2F75"/>
    <w:rsid w:val="000C0E89"/>
    <w:rsid w:val="000C2BDA"/>
    <w:rsid w:val="000C4A2F"/>
    <w:rsid w:val="000D1215"/>
    <w:rsid w:val="000E4F15"/>
    <w:rsid w:val="000E686A"/>
    <w:rsid w:val="000F3621"/>
    <w:rsid w:val="00100525"/>
    <w:rsid w:val="001153D4"/>
    <w:rsid w:val="00117CC4"/>
    <w:rsid w:val="00117E89"/>
    <w:rsid w:val="001268ED"/>
    <w:rsid w:val="001279DE"/>
    <w:rsid w:val="00131C96"/>
    <w:rsid w:val="00133010"/>
    <w:rsid w:val="001340E3"/>
    <w:rsid w:val="001407ED"/>
    <w:rsid w:val="0014345A"/>
    <w:rsid w:val="001508A5"/>
    <w:rsid w:val="00152D85"/>
    <w:rsid w:val="0016715A"/>
    <w:rsid w:val="00171283"/>
    <w:rsid w:val="00173EF9"/>
    <w:rsid w:val="00181FA4"/>
    <w:rsid w:val="001879D5"/>
    <w:rsid w:val="00192CD8"/>
    <w:rsid w:val="001968E9"/>
    <w:rsid w:val="001A3153"/>
    <w:rsid w:val="001A4969"/>
    <w:rsid w:val="001B31B1"/>
    <w:rsid w:val="001B5870"/>
    <w:rsid w:val="001B5908"/>
    <w:rsid w:val="001C3CDF"/>
    <w:rsid w:val="001C5D90"/>
    <w:rsid w:val="001D1A82"/>
    <w:rsid w:val="001D1E31"/>
    <w:rsid w:val="001D37C0"/>
    <w:rsid w:val="001D3D00"/>
    <w:rsid w:val="001E0BCE"/>
    <w:rsid w:val="001E5CD5"/>
    <w:rsid w:val="001E67F4"/>
    <w:rsid w:val="001E6911"/>
    <w:rsid w:val="0020296B"/>
    <w:rsid w:val="00204FEB"/>
    <w:rsid w:val="00206415"/>
    <w:rsid w:val="0021039E"/>
    <w:rsid w:val="00233A84"/>
    <w:rsid w:val="00235B11"/>
    <w:rsid w:val="00245D28"/>
    <w:rsid w:val="00260894"/>
    <w:rsid w:val="00267EA6"/>
    <w:rsid w:val="00272D0B"/>
    <w:rsid w:val="0028625C"/>
    <w:rsid w:val="0029738A"/>
    <w:rsid w:val="002A097D"/>
    <w:rsid w:val="002B2FF8"/>
    <w:rsid w:val="002B5708"/>
    <w:rsid w:val="002B6234"/>
    <w:rsid w:val="002B634F"/>
    <w:rsid w:val="002C1C16"/>
    <w:rsid w:val="002D392C"/>
    <w:rsid w:val="002D6A5B"/>
    <w:rsid w:val="002D74D5"/>
    <w:rsid w:val="002E7961"/>
    <w:rsid w:val="002F01E6"/>
    <w:rsid w:val="002F0B58"/>
    <w:rsid w:val="003004AE"/>
    <w:rsid w:val="0030416D"/>
    <w:rsid w:val="003068B8"/>
    <w:rsid w:val="00316178"/>
    <w:rsid w:val="00332A63"/>
    <w:rsid w:val="00340093"/>
    <w:rsid w:val="003405B1"/>
    <w:rsid w:val="00340F36"/>
    <w:rsid w:val="00341ABD"/>
    <w:rsid w:val="003548C7"/>
    <w:rsid w:val="00356107"/>
    <w:rsid w:val="003566BB"/>
    <w:rsid w:val="00366B95"/>
    <w:rsid w:val="0037120D"/>
    <w:rsid w:val="0037494A"/>
    <w:rsid w:val="003843C5"/>
    <w:rsid w:val="00392AB4"/>
    <w:rsid w:val="00395616"/>
    <w:rsid w:val="003B0002"/>
    <w:rsid w:val="003B0C7D"/>
    <w:rsid w:val="003B16DD"/>
    <w:rsid w:val="003B4658"/>
    <w:rsid w:val="003C1E98"/>
    <w:rsid w:val="003C448D"/>
    <w:rsid w:val="003C539D"/>
    <w:rsid w:val="003C646F"/>
    <w:rsid w:val="003C676E"/>
    <w:rsid w:val="003D03B3"/>
    <w:rsid w:val="003D600B"/>
    <w:rsid w:val="003E281D"/>
    <w:rsid w:val="003E43C9"/>
    <w:rsid w:val="003E5A9A"/>
    <w:rsid w:val="003F5765"/>
    <w:rsid w:val="003F7891"/>
    <w:rsid w:val="003F7BDC"/>
    <w:rsid w:val="0040798B"/>
    <w:rsid w:val="004254FD"/>
    <w:rsid w:val="00436D60"/>
    <w:rsid w:val="004406AF"/>
    <w:rsid w:val="00441FCB"/>
    <w:rsid w:val="00444CB1"/>
    <w:rsid w:val="00452739"/>
    <w:rsid w:val="004576EE"/>
    <w:rsid w:val="00464988"/>
    <w:rsid w:val="00470783"/>
    <w:rsid w:val="00473AFD"/>
    <w:rsid w:val="00473F89"/>
    <w:rsid w:val="00475040"/>
    <w:rsid w:val="00482082"/>
    <w:rsid w:val="00491AB1"/>
    <w:rsid w:val="00494037"/>
    <w:rsid w:val="0049571E"/>
    <w:rsid w:val="004961E2"/>
    <w:rsid w:val="004A1EEA"/>
    <w:rsid w:val="004A7F86"/>
    <w:rsid w:val="004B24BC"/>
    <w:rsid w:val="004B2E7C"/>
    <w:rsid w:val="004B6752"/>
    <w:rsid w:val="004C254C"/>
    <w:rsid w:val="004C57FB"/>
    <w:rsid w:val="004D09F9"/>
    <w:rsid w:val="004D4037"/>
    <w:rsid w:val="004D6AD0"/>
    <w:rsid w:val="004E1F15"/>
    <w:rsid w:val="004E3853"/>
    <w:rsid w:val="004E4549"/>
    <w:rsid w:val="004E53F9"/>
    <w:rsid w:val="00501209"/>
    <w:rsid w:val="00502F60"/>
    <w:rsid w:val="00503231"/>
    <w:rsid w:val="00512263"/>
    <w:rsid w:val="00516485"/>
    <w:rsid w:val="00523B1C"/>
    <w:rsid w:val="00526291"/>
    <w:rsid w:val="00530D3B"/>
    <w:rsid w:val="00536C0D"/>
    <w:rsid w:val="0054346E"/>
    <w:rsid w:val="00554492"/>
    <w:rsid w:val="00554FE7"/>
    <w:rsid w:val="005565C2"/>
    <w:rsid w:val="00560D05"/>
    <w:rsid w:val="00562742"/>
    <w:rsid w:val="00564030"/>
    <w:rsid w:val="0056590E"/>
    <w:rsid w:val="0057390B"/>
    <w:rsid w:val="005804F6"/>
    <w:rsid w:val="00581CBF"/>
    <w:rsid w:val="00591781"/>
    <w:rsid w:val="005A0716"/>
    <w:rsid w:val="005A4432"/>
    <w:rsid w:val="005A4E5F"/>
    <w:rsid w:val="005A5946"/>
    <w:rsid w:val="005B6996"/>
    <w:rsid w:val="005D5076"/>
    <w:rsid w:val="005D5FD9"/>
    <w:rsid w:val="005D765A"/>
    <w:rsid w:val="005E03E0"/>
    <w:rsid w:val="005E667C"/>
    <w:rsid w:val="005F4D0D"/>
    <w:rsid w:val="005F678B"/>
    <w:rsid w:val="005F7EBE"/>
    <w:rsid w:val="006018B3"/>
    <w:rsid w:val="006126CE"/>
    <w:rsid w:val="0062130F"/>
    <w:rsid w:val="00622E10"/>
    <w:rsid w:val="00623CAF"/>
    <w:rsid w:val="00625EB5"/>
    <w:rsid w:val="00626600"/>
    <w:rsid w:val="0064201E"/>
    <w:rsid w:val="00642EA6"/>
    <w:rsid w:val="00660FAA"/>
    <w:rsid w:val="00662A2D"/>
    <w:rsid w:val="00663301"/>
    <w:rsid w:val="006678F0"/>
    <w:rsid w:val="00672B17"/>
    <w:rsid w:val="006748E2"/>
    <w:rsid w:val="00680AE9"/>
    <w:rsid w:val="00682704"/>
    <w:rsid w:val="00691E64"/>
    <w:rsid w:val="006A1AAE"/>
    <w:rsid w:val="006A3E59"/>
    <w:rsid w:val="006A3FC0"/>
    <w:rsid w:val="006B2A0C"/>
    <w:rsid w:val="006C2D17"/>
    <w:rsid w:val="006D2C45"/>
    <w:rsid w:val="006D4D0B"/>
    <w:rsid w:val="007041E1"/>
    <w:rsid w:val="00712023"/>
    <w:rsid w:val="007167AE"/>
    <w:rsid w:val="0071687C"/>
    <w:rsid w:val="00725A42"/>
    <w:rsid w:val="00762244"/>
    <w:rsid w:val="0078084F"/>
    <w:rsid w:val="00783DFB"/>
    <w:rsid w:val="007873A1"/>
    <w:rsid w:val="007C098B"/>
    <w:rsid w:val="007E107E"/>
    <w:rsid w:val="007F1011"/>
    <w:rsid w:val="007F464B"/>
    <w:rsid w:val="007F594E"/>
    <w:rsid w:val="007F6150"/>
    <w:rsid w:val="007F6535"/>
    <w:rsid w:val="007F6F07"/>
    <w:rsid w:val="008059B6"/>
    <w:rsid w:val="00805F6B"/>
    <w:rsid w:val="00815500"/>
    <w:rsid w:val="00822676"/>
    <w:rsid w:val="0082685C"/>
    <w:rsid w:val="0083064A"/>
    <w:rsid w:val="008314F0"/>
    <w:rsid w:val="00834CDE"/>
    <w:rsid w:val="00837F8B"/>
    <w:rsid w:val="00845BCF"/>
    <w:rsid w:val="00847276"/>
    <w:rsid w:val="00854E2D"/>
    <w:rsid w:val="0086017C"/>
    <w:rsid w:val="00863259"/>
    <w:rsid w:val="008813E8"/>
    <w:rsid w:val="008836D5"/>
    <w:rsid w:val="00887BB1"/>
    <w:rsid w:val="008907FB"/>
    <w:rsid w:val="0089606C"/>
    <w:rsid w:val="008A3576"/>
    <w:rsid w:val="008A3F3A"/>
    <w:rsid w:val="008B603A"/>
    <w:rsid w:val="008C2131"/>
    <w:rsid w:val="008D3313"/>
    <w:rsid w:val="008D5353"/>
    <w:rsid w:val="008D7EB3"/>
    <w:rsid w:val="008E15FF"/>
    <w:rsid w:val="008E5FC3"/>
    <w:rsid w:val="008E7A3B"/>
    <w:rsid w:val="00904CDA"/>
    <w:rsid w:val="00904FB5"/>
    <w:rsid w:val="00905564"/>
    <w:rsid w:val="009072A7"/>
    <w:rsid w:val="00917646"/>
    <w:rsid w:val="0092162B"/>
    <w:rsid w:val="009273CB"/>
    <w:rsid w:val="00927AD1"/>
    <w:rsid w:val="00934E7C"/>
    <w:rsid w:val="00941AAD"/>
    <w:rsid w:val="009533F3"/>
    <w:rsid w:val="00954001"/>
    <w:rsid w:val="00954A64"/>
    <w:rsid w:val="00971505"/>
    <w:rsid w:val="00973639"/>
    <w:rsid w:val="00975194"/>
    <w:rsid w:val="009804D1"/>
    <w:rsid w:val="00985C05"/>
    <w:rsid w:val="00985E0A"/>
    <w:rsid w:val="009A4C7C"/>
    <w:rsid w:val="009B21A0"/>
    <w:rsid w:val="009C3973"/>
    <w:rsid w:val="009C4A77"/>
    <w:rsid w:val="009C7124"/>
    <w:rsid w:val="009D27BF"/>
    <w:rsid w:val="009D348C"/>
    <w:rsid w:val="009E2813"/>
    <w:rsid w:val="009E40E1"/>
    <w:rsid w:val="009E687F"/>
    <w:rsid w:val="009F33B1"/>
    <w:rsid w:val="00A101FD"/>
    <w:rsid w:val="00A17AF7"/>
    <w:rsid w:val="00A21E4F"/>
    <w:rsid w:val="00A2212D"/>
    <w:rsid w:val="00A32FC6"/>
    <w:rsid w:val="00A40D88"/>
    <w:rsid w:val="00A43F81"/>
    <w:rsid w:val="00A4664C"/>
    <w:rsid w:val="00A4794A"/>
    <w:rsid w:val="00A51462"/>
    <w:rsid w:val="00A61BDB"/>
    <w:rsid w:val="00A62261"/>
    <w:rsid w:val="00A635DC"/>
    <w:rsid w:val="00A7528D"/>
    <w:rsid w:val="00A80F4F"/>
    <w:rsid w:val="00AA0F8F"/>
    <w:rsid w:val="00AA30DB"/>
    <w:rsid w:val="00AA47D5"/>
    <w:rsid w:val="00AB2572"/>
    <w:rsid w:val="00AB6A22"/>
    <w:rsid w:val="00AC04FB"/>
    <w:rsid w:val="00AC787E"/>
    <w:rsid w:val="00AD53CF"/>
    <w:rsid w:val="00AD65C4"/>
    <w:rsid w:val="00AF572C"/>
    <w:rsid w:val="00AF573F"/>
    <w:rsid w:val="00AF6A44"/>
    <w:rsid w:val="00B13615"/>
    <w:rsid w:val="00B14AEE"/>
    <w:rsid w:val="00B235D5"/>
    <w:rsid w:val="00B25510"/>
    <w:rsid w:val="00B3373B"/>
    <w:rsid w:val="00B33BD7"/>
    <w:rsid w:val="00B353B6"/>
    <w:rsid w:val="00B36E06"/>
    <w:rsid w:val="00B44F58"/>
    <w:rsid w:val="00B472F1"/>
    <w:rsid w:val="00B53A03"/>
    <w:rsid w:val="00B554F5"/>
    <w:rsid w:val="00B570EF"/>
    <w:rsid w:val="00B60682"/>
    <w:rsid w:val="00B61081"/>
    <w:rsid w:val="00B641FF"/>
    <w:rsid w:val="00B671C6"/>
    <w:rsid w:val="00B775CB"/>
    <w:rsid w:val="00B83170"/>
    <w:rsid w:val="00B862AE"/>
    <w:rsid w:val="00B92957"/>
    <w:rsid w:val="00B94FD0"/>
    <w:rsid w:val="00BA378E"/>
    <w:rsid w:val="00BA7776"/>
    <w:rsid w:val="00BB009B"/>
    <w:rsid w:val="00BB0C49"/>
    <w:rsid w:val="00BB66BD"/>
    <w:rsid w:val="00BC1DA0"/>
    <w:rsid w:val="00BD0B59"/>
    <w:rsid w:val="00BD6F99"/>
    <w:rsid w:val="00BD7F66"/>
    <w:rsid w:val="00C005BD"/>
    <w:rsid w:val="00C0160A"/>
    <w:rsid w:val="00C03985"/>
    <w:rsid w:val="00C04201"/>
    <w:rsid w:val="00C12A16"/>
    <w:rsid w:val="00C13A4C"/>
    <w:rsid w:val="00C259CA"/>
    <w:rsid w:val="00C26AA0"/>
    <w:rsid w:val="00C368E1"/>
    <w:rsid w:val="00C434F1"/>
    <w:rsid w:val="00C452AC"/>
    <w:rsid w:val="00C45FBB"/>
    <w:rsid w:val="00C46B6F"/>
    <w:rsid w:val="00C51D75"/>
    <w:rsid w:val="00C5417E"/>
    <w:rsid w:val="00C55B6A"/>
    <w:rsid w:val="00C57F89"/>
    <w:rsid w:val="00C6098D"/>
    <w:rsid w:val="00C616CE"/>
    <w:rsid w:val="00C755A0"/>
    <w:rsid w:val="00C80547"/>
    <w:rsid w:val="00C84ECD"/>
    <w:rsid w:val="00C86EE8"/>
    <w:rsid w:val="00C96C91"/>
    <w:rsid w:val="00CA25D8"/>
    <w:rsid w:val="00CA3735"/>
    <w:rsid w:val="00CA7244"/>
    <w:rsid w:val="00CB1DBB"/>
    <w:rsid w:val="00CB1F2C"/>
    <w:rsid w:val="00CB350E"/>
    <w:rsid w:val="00CC1486"/>
    <w:rsid w:val="00CC6745"/>
    <w:rsid w:val="00CD2EFC"/>
    <w:rsid w:val="00CD5979"/>
    <w:rsid w:val="00CE35A4"/>
    <w:rsid w:val="00CE5D35"/>
    <w:rsid w:val="00CF3A3C"/>
    <w:rsid w:val="00CF45A0"/>
    <w:rsid w:val="00CF48D0"/>
    <w:rsid w:val="00CF5317"/>
    <w:rsid w:val="00D11650"/>
    <w:rsid w:val="00D1434D"/>
    <w:rsid w:val="00D4014D"/>
    <w:rsid w:val="00D43CA2"/>
    <w:rsid w:val="00D4689C"/>
    <w:rsid w:val="00D468C0"/>
    <w:rsid w:val="00D477AB"/>
    <w:rsid w:val="00D719A6"/>
    <w:rsid w:val="00D777E4"/>
    <w:rsid w:val="00D82F70"/>
    <w:rsid w:val="00D97AE3"/>
    <w:rsid w:val="00DA6A74"/>
    <w:rsid w:val="00DB33E9"/>
    <w:rsid w:val="00DB4AB1"/>
    <w:rsid w:val="00DB4E92"/>
    <w:rsid w:val="00DC3B41"/>
    <w:rsid w:val="00DE1425"/>
    <w:rsid w:val="00DF03C2"/>
    <w:rsid w:val="00DF104D"/>
    <w:rsid w:val="00E01C69"/>
    <w:rsid w:val="00E032AF"/>
    <w:rsid w:val="00E061A5"/>
    <w:rsid w:val="00E078B7"/>
    <w:rsid w:val="00E10CE0"/>
    <w:rsid w:val="00E21E32"/>
    <w:rsid w:val="00E24BA8"/>
    <w:rsid w:val="00E2507A"/>
    <w:rsid w:val="00E344C1"/>
    <w:rsid w:val="00E47CB4"/>
    <w:rsid w:val="00E51E71"/>
    <w:rsid w:val="00E603D0"/>
    <w:rsid w:val="00E623C9"/>
    <w:rsid w:val="00E64DD5"/>
    <w:rsid w:val="00E65237"/>
    <w:rsid w:val="00E66371"/>
    <w:rsid w:val="00E6663B"/>
    <w:rsid w:val="00E670D8"/>
    <w:rsid w:val="00E82804"/>
    <w:rsid w:val="00E82D0C"/>
    <w:rsid w:val="00E85669"/>
    <w:rsid w:val="00E96D0E"/>
    <w:rsid w:val="00EA14CA"/>
    <w:rsid w:val="00EA2C99"/>
    <w:rsid w:val="00EB73C4"/>
    <w:rsid w:val="00ED30B7"/>
    <w:rsid w:val="00EE5DFD"/>
    <w:rsid w:val="00EE7D9B"/>
    <w:rsid w:val="00EF1690"/>
    <w:rsid w:val="00EF243E"/>
    <w:rsid w:val="00EF535B"/>
    <w:rsid w:val="00EF7AD0"/>
    <w:rsid w:val="00F03F91"/>
    <w:rsid w:val="00F1106D"/>
    <w:rsid w:val="00F12327"/>
    <w:rsid w:val="00F135AA"/>
    <w:rsid w:val="00F20ABD"/>
    <w:rsid w:val="00F21178"/>
    <w:rsid w:val="00F2785A"/>
    <w:rsid w:val="00F306DC"/>
    <w:rsid w:val="00F30C77"/>
    <w:rsid w:val="00F36C74"/>
    <w:rsid w:val="00F4426B"/>
    <w:rsid w:val="00F450C4"/>
    <w:rsid w:val="00F57F33"/>
    <w:rsid w:val="00F66335"/>
    <w:rsid w:val="00F9436C"/>
    <w:rsid w:val="00F94CDC"/>
    <w:rsid w:val="00F959DB"/>
    <w:rsid w:val="00FC4E66"/>
    <w:rsid w:val="00FC656B"/>
    <w:rsid w:val="00FD40F7"/>
    <w:rsid w:val="00FE1BA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E97CC"/>
  <w15:chartTrackingRefBased/>
  <w15:docId w15:val="{1EE1692E-4B69-4BE8-8EFA-12B1C17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3A"/>
    <w:rPr>
      <w:rFonts w:eastAsiaTheme="majorEastAsia" w:cstheme="majorBidi"/>
      <w:color w:val="272727" w:themeColor="text1" w:themeTint="D8"/>
    </w:rPr>
  </w:style>
  <w:style w:type="paragraph" w:styleId="Title">
    <w:name w:val="Title"/>
    <w:basedOn w:val="Normal"/>
    <w:next w:val="Normal"/>
    <w:link w:val="TitleChar"/>
    <w:uiPriority w:val="10"/>
    <w:qFormat/>
    <w:rsid w:val="008B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3A"/>
    <w:pPr>
      <w:spacing w:before="160"/>
      <w:jc w:val="center"/>
    </w:pPr>
    <w:rPr>
      <w:i/>
      <w:iCs/>
      <w:color w:val="404040" w:themeColor="text1" w:themeTint="BF"/>
    </w:rPr>
  </w:style>
  <w:style w:type="character" w:customStyle="1" w:styleId="QuoteChar">
    <w:name w:val="Quote Char"/>
    <w:basedOn w:val="DefaultParagraphFont"/>
    <w:link w:val="Quote"/>
    <w:uiPriority w:val="29"/>
    <w:rsid w:val="008B603A"/>
    <w:rPr>
      <w:i/>
      <w:iCs/>
      <w:color w:val="404040" w:themeColor="text1" w:themeTint="BF"/>
    </w:rPr>
  </w:style>
  <w:style w:type="paragraph" w:styleId="ListParagraph">
    <w:name w:val="List Paragraph"/>
    <w:aliases w:val="TESMEC - Titolo 3,References,NUMBERED PARAGRAPH,List Paragraph 1,Bullets,List_Paragraph,Multilevel para_II,Testo elenco,Titolo_3,text bullet,FVP-Paragrafo,lp1,Heading x1,Számozott ApPello,Table of contents numbered,heading 2(bullets)"/>
    <w:basedOn w:val="Normal"/>
    <w:link w:val="ListParagraphChar"/>
    <w:uiPriority w:val="34"/>
    <w:qFormat/>
    <w:rsid w:val="008B603A"/>
    <w:pPr>
      <w:ind w:left="720"/>
      <w:contextualSpacing/>
    </w:pPr>
  </w:style>
  <w:style w:type="character" w:styleId="IntenseEmphasis">
    <w:name w:val="Intense Emphasis"/>
    <w:basedOn w:val="DefaultParagraphFont"/>
    <w:uiPriority w:val="21"/>
    <w:qFormat/>
    <w:rsid w:val="008B603A"/>
    <w:rPr>
      <w:i/>
      <w:iCs/>
      <w:color w:val="0F4761" w:themeColor="accent1" w:themeShade="BF"/>
    </w:rPr>
  </w:style>
  <w:style w:type="paragraph" w:styleId="IntenseQuote">
    <w:name w:val="Intense Quote"/>
    <w:basedOn w:val="Normal"/>
    <w:next w:val="Normal"/>
    <w:link w:val="IntenseQuoteChar"/>
    <w:uiPriority w:val="30"/>
    <w:qFormat/>
    <w:rsid w:val="008B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3A"/>
    <w:rPr>
      <w:i/>
      <w:iCs/>
      <w:color w:val="0F4761" w:themeColor="accent1" w:themeShade="BF"/>
    </w:rPr>
  </w:style>
  <w:style w:type="character" w:styleId="IntenseReference">
    <w:name w:val="Intense Reference"/>
    <w:basedOn w:val="DefaultParagraphFont"/>
    <w:uiPriority w:val="32"/>
    <w:qFormat/>
    <w:rsid w:val="008B603A"/>
    <w:rPr>
      <w:b/>
      <w:bCs/>
      <w:smallCaps/>
      <w:color w:val="0F4761" w:themeColor="accent1" w:themeShade="BF"/>
      <w:spacing w:val="5"/>
    </w:rPr>
  </w:style>
  <w:style w:type="paragraph" w:styleId="Revision">
    <w:name w:val="Revision"/>
    <w:hidden/>
    <w:uiPriority w:val="99"/>
    <w:semiHidden/>
    <w:rsid w:val="00B61081"/>
    <w:pPr>
      <w:spacing w:after="0" w:line="240" w:lineRule="auto"/>
    </w:pPr>
  </w:style>
  <w:style w:type="character" w:styleId="CommentReference">
    <w:name w:val="annotation reference"/>
    <w:uiPriority w:val="99"/>
    <w:unhideWhenUsed/>
    <w:rsid w:val="00B61081"/>
    <w:rPr>
      <w:sz w:val="16"/>
      <w:szCs w:val="16"/>
    </w:rPr>
  </w:style>
  <w:style w:type="paragraph" w:styleId="CommentText">
    <w:name w:val="annotation text"/>
    <w:basedOn w:val="Normal"/>
    <w:link w:val="CommentTextChar"/>
    <w:uiPriority w:val="99"/>
    <w:unhideWhenUsed/>
    <w:rsid w:val="00B61081"/>
    <w:pPr>
      <w:spacing w:after="0" w:line="240" w:lineRule="auto"/>
    </w:pPr>
    <w:rPr>
      <w:rFonts w:ascii="Times New Roman" w:eastAsia="Times New Roman" w:hAnsi="Times New Roman" w:cs="Times New Roman"/>
      <w:kern w:val="0"/>
      <w:sz w:val="20"/>
      <w:szCs w:val="20"/>
      <w:lang w:val="ro-RO"/>
      <w14:ligatures w14:val="none"/>
    </w:rPr>
  </w:style>
  <w:style w:type="character" w:customStyle="1" w:styleId="CommentTextChar">
    <w:name w:val="Comment Text Char"/>
    <w:basedOn w:val="DefaultParagraphFont"/>
    <w:link w:val="CommentText"/>
    <w:uiPriority w:val="99"/>
    <w:rsid w:val="00B61081"/>
    <w:rPr>
      <w:rFonts w:ascii="Times New Roman" w:eastAsia="Times New Roman" w:hAnsi="Times New Roman" w:cs="Times New Roman"/>
      <w:kern w:val="0"/>
      <w:sz w:val="20"/>
      <w:szCs w:val="20"/>
      <w:lang w:val="ro-RO"/>
      <w14:ligatures w14:val="none"/>
    </w:rPr>
  </w:style>
  <w:style w:type="character" w:customStyle="1" w:styleId="ListParagraphChar">
    <w:name w:val="List Paragraph Char"/>
    <w:aliases w:val="TESMEC - Titolo 3 Char,References Char,NUMBERED PARAGRAPH Char,List Paragraph 1 Char,Bullets Char,List_Paragraph Char,Multilevel para_II Char,Testo elenco Char,Titolo_3 Char,text bullet Char,FVP-Paragrafo Char,lp1 Char"/>
    <w:link w:val="ListParagraph"/>
    <w:uiPriority w:val="34"/>
    <w:qFormat/>
    <w:rsid w:val="00B61081"/>
  </w:style>
  <w:style w:type="paragraph" w:customStyle="1" w:styleId="cb">
    <w:name w:val="cb"/>
    <w:basedOn w:val="Normal"/>
    <w:uiPriority w:val="99"/>
    <w:rsid w:val="00B61081"/>
    <w:pPr>
      <w:spacing w:after="0" w:line="240" w:lineRule="auto"/>
      <w:jc w:val="center"/>
    </w:pPr>
    <w:rPr>
      <w:rFonts w:ascii="Times New Roman" w:eastAsia="Times New Roman" w:hAnsi="Times New Roman" w:cs="Times New Roman"/>
      <w:b/>
      <w:bCs/>
      <w:kern w:val="0"/>
      <w:sz w:val="24"/>
      <w:szCs w:val="24"/>
      <w:lang w:val="ru-RU" w:eastAsia="ru-RU"/>
      <w14:ligatures w14:val="none"/>
    </w:rPr>
  </w:style>
  <w:style w:type="paragraph" w:styleId="CommentSubject">
    <w:name w:val="annotation subject"/>
    <w:basedOn w:val="CommentText"/>
    <w:next w:val="CommentText"/>
    <w:link w:val="CommentSubjectChar"/>
    <w:uiPriority w:val="99"/>
    <w:semiHidden/>
    <w:unhideWhenUsed/>
    <w:rsid w:val="00B53A03"/>
    <w:pPr>
      <w:spacing w:after="160"/>
    </w:pPr>
    <w:rPr>
      <w:rFonts w:asciiTheme="minorHAnsi" w:eastAsiaTheme="minorHAnsi" w:hAnsiTheme="minorHAnsi" w:cstheme="minorBidi"/>
      <w:b/>
      <w:bCs/>
      <w:kern w:val="2"/>
      <w:lang w:val="ro-MD"/>
      <w14:ligatures w14:val="standardContextual"/>
    </w:rPr>
  </w:style>
  <w:style w:type="character" w:customStyle="1" w:styleId="CommentSubjectChar">
    <w:name w:val="Comment Subject Char"/>
    <w:basedOn w:val="CommentTextChar"/>
    <w:link w:val="CommentSubject"/>
    <w:uiPriority w:val="99"/>
    <w:semiHidden/>
    <w:rsid w:val="00B53A03"/>
    <w:rPr>
      <w:rFonts w:ascii="Times New Roman" w:eastAsia="Times New Roman" w:hAnsi="Times New Roman" w:cs="Times New Roman"/>
      <w:b/>
      <w:bCs/>
      <w:kern w:val="0"/>
      <w:sz w:val="20"/>
      <w:szCs w:val="20"/>
      <w:lang w:val="ro-RO"/>
      <w14:ligatures w14:val="none"/>
    </w:rPr>
  </w:style>
  <w:style w:type="paragraph" w:styleId="Header">
    <w:name w:val="header"/>
    <w:basedOn w:val="Normal"/>
    <w:link w:val="HeaderChar"/>
    <w:uiPriority w:val="99"/>
    <w:unhideWhenUsed/>
    <w:rsid w:val="003548C7"/>
    <w:pPr>
      <w:tabs>
        <w:tab w:val="center" w:pos="4677"/>
        <w:tab w:val="right" w:pos="9355"/>
      </w:tabs>
      <w:spacing w:after="0" w:line="240" w:lineRule="auto"/>
    </w:pPr>
  </w:style>
  <w:style w:type="character" w:customStyle="1" w:styleId="HeaderChar">
    <w:name w:val="Header Char"/>
    <w:basedOn w:val="DefaultParagraphFont"/>
    <w:link w:val="Header"/>
    <w:uiPriority w:val="99"/>
    <w:rsid w:val="003548C7"/>
  </w:style>
  <w:style w:type="paragraph" w:styleId="Footer">
    <w:name w:val="footer"/>
    <w:basedOn w:val="Normal"/>
    <w:link w:val="FooterChar"/>
    <w:uiPriority w:val="99"/>
    <w:unhideWhenUsed/>
    <w:rsid w:val="003548C7"/>
    <w:pPr>
      <w:tabs>
        <w:tab w:val="center" w:pos="4677"/>
        <w:tab w:val="right" w:pos="9355"/>
      </w:tabs>
      <w:spacing w:after="0" w:line="240" w:lineRule="auto"/>
    </w:pPr>
  </w:style>
  <w:style w:type="character" w:customStyle="1" w:styleId="FooterChar">
    <w:name w:val="Footer Char"/>
    <w:basedOn w:val="DefaultParagraphFont"/>
    <w:link w:val="Footer"/>
    <w:uiPriority w:val="99"/>
    <w:rsid w:val="003548C7"/>
  </w:style>
  <w:style w:type="character" w:styleId="Hyperlink">
    <w:name w:val="Hyperlink"/>
    <w:basedOn w:val="DefaultParagraphFont"/>
    <w:uiPriority w:val="99"/>
    <w:unhideWhenUsed/>
    <w:rsid w:val="00B44F58"/>
    <w:rPr>
      <w:color w:val="467886" w:themeColor="hyperlink"/>
      <w:u w:val="single"/>
    </w:rPr>
  </w:style>
  <w:style w:type="character" w:styleId="UnresolvedMention">
    <w:name w:val="Unresolved Mention"/>
    <w:basedOn w:val="DefaultParagraphFont"/>
    <w:uiPriority w:val="99"/>
    <w:semiHidden/>
    <w:unhideWhenUsed/>
    <w:rsid w:val="00B44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4105">
      <w:bodyDiv w:val="1"/>
      <w:marLeft w:val="0"/>
      <w:marRight w:val="0"/>
      <w:marTop w:val="0"/>
      <w:marBottom w:val="0"/>
      <w:divBdr>
        <w:top w:val="none" w:sz="0" w:space="0" w:color="auto"/>
        <w:left w:val="none" w:sz="0" w:space="0" w:color="auto"/>
        <w:bottom w:val="none" w:sz="0" w:space="0" w:color="auto"/>
        <w:right w:val="none" w:sz="0" w:space="0" w:color="auto"/>
      </w:divBdr>
    </w:div>
    <w:div w:id="258221051">
      <w:bodyDiv w:val="1"/>
      <w:marLeft w:val="0"/>
      <w:marRight w:val="0"/>
      <w:marTop w:val="0"/>
      <w:marBottom w:val="0"/>
      <w:divBdr>
        <w:top w:val="none" w:sz="0" w:space="0" w:color="auto"/>
        <w:left w:val="none" w:sz="0" w:space="0" w:color="auto"/>
        <w:bottom w:val="none" w:sz="0" w:space="0" w:color="auto"/>
        <w:right w:val="none" w:sz="0" w:space="0" w:color="auto"/>
      </w:divBdr>
    </w:div>
    <w:div w:id="329258539">
      <w:bodyDiv w:val="1"/>
      <w:marLeft w:val="0"/>
      <w:marRight w:val="0"/>
      <w:marTop w:val="0"/>
      <w:marBottom w:val="0"/>
      <w:divBdr>
        <w:top w:val="none" w:sz="0" w:space="0" w:color="auto"/>
        <w:left w:val="none" w:sz="0" w:space="0" w:color="auto"/>
        <w:bottom w:val="none" w:sz="0" w:space="0" w:color="auto"/>
        <w:right w:val="none" w:sz="0" w:space="0" w:color="auto"/>
      </w:divBdr>
    </w:div>
    <w:div w:id="1407996008">
      <w:bodyDiv w:val="1"/>
      <w:marLeft w:val="0"/>
      <w:marRight w:val="0"/>
      <w:marTop w:val="0"/>
      <w:marBottom w:val="0"/>
      <w:divBdr>
        <w:top w:val="none" w:sz="0" w:space="0" w:color="auto"/>
        <w:left w:val="none" w:sz="0" w:space="0" w:color="auto"/>
        <w:bottom w:val="none" w:sz="0" w:space="0" w:color="auto"/>
        <w:right w:val="none" w:sz="0" w:space="0" w:color="auto"/>
      </w:divBdr>
    </w:div>
    <w:div w:id="20487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header3.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d67eecbc-1e98-4bd0-9938-4b3471830d37</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7F5FB-B7AA-4BE5-A080-FB23E3E194D1}">
  <ds:schemaRefs>
    <ds:schemaRef ds:uri="http://schemas.titus.com/TitusProperties/"/>
    <ds:schemaRef ds:uri=""/>
  </ds:schemaRefs>
</ds:datastoreItem>
</file>

<file path=customXml/itemProps2.xml><?xml version="1.0" encoding="utf-8"?>
<ds:datastoreItem xmlns:ds="http://schemas.openxmlformats.org/officeDocument/2006/customXml" ds:itemID="{570850F2-67EC-48C6-98B5-4DE8D7BE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3329</Words>
  <Characters>18046</Characters>
  <Application>Microsoft Office Word</Application>
  <DocSecurity>0</DocSecurity>
  <Lines>334</Lines>
  <Paragraphs>120</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2026-03-27T12:20:00Z</dcterms:created>
  <cp:lastPrinted>2025-11-28T07:06:00Z</cp:lastPrinted>
  <dcterms:modified xsi:type="dcterms:W3CDTF">2026-03-27T12:20:00Z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d67eecbc-1e98-4bd0-9938-4b3471830d37</vt:lpwstr>
  </property>
  <property fmtid="{D5CDD505-2E9C-101B-9397-08002B2CF9AE}" pid="3" name="Clasificare">
    <vt:lpwstr>NONE</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2025-04-01T08:51:43Z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eeef4577-3399-4876-8022-7a554779496b</vt:lpwstr>
  </property>
  <property fmtid="{D5CDD505-2E9C-101B-9397-08002B2CF9AE}" pid="16" name="MSIP_Label_70108aff-3426-4749-9d04-de3a5077dcce_ContentBits">
    <vt:lpwstr>3</vt:lpwstr>
  </property>
</Properties>
</file>